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pacing w:line="1" w:lineRule="exact"/>
        <w:rPr>
          <w:rFonts w:hint="eastAsia" w:ascii="仿宋" w:hAnsi="仿宋" w:eastAsia="仿宋" w:cs="仿宋"/>
          <w:sz w:val="32"/>
          <w:szCs w:val="32"/>
        </w:rPr>
      </w:pPr>
    </w:p>
    <w:p>
      <w:pPr>
        <w:widowControl/>
        <w:kinsoku w:val="0"/>
        <w:autoSpaceDE w:val="0"/>
        <w:autoSpaceDN w:val="0"/>
        <w:adjustRightInd w:val="0"/>
        <w:snapToGrid w:val="0"/>
        <w:spacing w:line="240" w:lineRule="auto"/>
        <w:jc w:val="center"/>
        <w:textAlignment w:val="baseline"/>
        <w:rPr>
          <w:rFonts w:hint="eastAsia" w:ascii="方正小标宋简体" w:hAnsi="方正小标宋简体" w:eastAsia="方正小标宋简体" w:cs="方正小标宋简体"/>
          <w:b w:val="0"/>
          <w:bCs w:val="0"/>
          <w:snapToGrid/>
          <w:color w:val="000000"/>
          <w:spacing w:val="0"/>
          <w:w w:val="100"/>
          <w:kern w:val="2"/>
          <w:position w:val="0"/>
          <w:sz w:val="44"/>
          <w:szCs w:val="44"/>
          <w:u w:val="none"/>
          <w:shd w:val="clear" w:color="auto" w:fill="auto"/>
          <w:lang w:val="en-US" w:eastAsia="zh-CN" w:bidi="zh-TW"/>
        </w:rPr>
      </w:pPr>
      <w:r>
        <w:rPr>
          <w:rFonts w:hint="eastAsia" w:ascii="方正小标宋简体" w:hAnsi="方正小标宋简体" w:eastAsia="方正小标宋简体" w:cs="方正小标宋简体"/>
          <w:b w:val="0"/>
          <w:bCs w:val="0"/>
          <w:snapToGrid/>
          <w:color w:val="000000"/>
          <w:spacing w:val="0"/>
          <w:w w:val="100"/>
          <w:kern w:val="2"/>
          <w:position w:val="0"/>
          <w:sz w:val="44"/>
          <w:szCs w:val="44"/>
          <w:u w:val="none"/>
          <w:shd w:val="clear" w:color="auto" w:fill="auto"/>
          <w:lang w:val="en-US" w:eastAsia="zh-CN" w:bidi="zh-TW"/>
        </w:rPr>
        <w:t>横峰县人民政府</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420" w:lineRule="atLeast"/>
        <w:ind w:right="0"/>
        <w:jc w:val="center"/>
        <w:rPr>
          <w:rFonts w:hint="eastAsia" w:ascii="方正小标宋简体" w:hAnsi="方正小标宋简体" w:eastAsia="方正小标宋简体" w:cs="方正小标宋简体"/>
          <w:b w:val="0"/>
          <w:bCs w:val="0"/>
          <w:snapToGrid/>
          <w:color w:val="000000"/>
          <w:spacing w:val="0"/>
          <w:w w:val="100"/>
          <w:kern w:val="2"/>
          <w:position w:val="0"/>
          <w:sz w:val="44"/>
          <w:szCs w:val="44"/>
          <w:u w:val="none"/>
          <w:shd w:val="clear" w:color="auto" w:fill="auto"/>
          <w:lang w:val="en-US" w:eastAsia="zh-CN" w:bidi="zh-TW"/>
        </w:rPr>
      </w:pPr>
      <w:r>
        <w:rPr>
          <w:rFonts w:hint="eastAsia" w:ascii="方正小标宋简体" w:hAnsi="方正小标宋简体" w:eastAsia="方正小标宋简体" w:cs="方正小标宋简体"/>
          <w:b w:val="0"/>
          <w:bCs w:val="0"/>
          <w:snapToGrid/>
          <w:color w:val="000000"/>
          <w:spacing w:val="0"/>
          <w:w w:val="100"/>
          <w:kern w:val="2"/>
          <w:position w:val="0"/>
          <w:sz w:val="44"/>
          <w:szCs w:val="44"/>
          <w:u w:val="none"/>
          <w:shd w:val="clear" w:color="auto" w:fill="auto"/>
          <w:lang w:val="en-US" w:eastAsia="zh-CN" w:bidi="zh-TW"/>
        </w:rPr>
        <w:t>关于衔接落实中央、省级深化“证照分离”改革进一步激发市场主体发展活力工作的通知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420" w:lineRule="atLeast"/>
        <w:ind w:right="0"/>
        <w:jc w:val="center"/>
        <w:rPr>
          <w:rFonts w:hint="eastAsia" w:ascii="方正小标宋简体" w:hAnsi="方正小标宋简体" w:eastAsia="方正小标宋简体" w:cs="方正小标宋简体"/>
          <w:b w:val="0"/>
          <w:bCs w:val="0"/>
          <w:snapToGrid/>
          <w:color w:val="000000"/>
          <w:spacing w:val="0"/>
          <w:w w:val="100"/>
          <w:kern w:val="2"/>
          <w:position w:val="0"/>
          <w:sz w:val="44"/>
          <w:szCs w:val="44"/>
          <w:u w:val="none"/>
          <w:shd w:val="clear" w:color="auto" w:fill="auto"/>
          <w:lang w:val="en-US" w:eastAsia="zh-CN" w:bidi="zh-TW"/>
        </w:rPr>
      </w:pPr>
      <w:r>
        <w:rPr>
          <w:rFonts w:hint="eastAsia" w:ascii="方正小标宋简体" w:hAnsi="方正小标宋简体" w:eastAsia="方正小标宋简体" w:cs="方正小标宋简体"/>
          <w:b w:val="0"/>
          <w:bCs w:val="0"/>
          <w:snapToGrid/>
          <w:color w:val="000000"/>
          <w:spacing w:val="0"/>
          <w:w w:val="100"/>
          <w:kern w:val="2"/>
          <w:position w:val="0"/>
          <w:sz w:val="44"/>
          <w:szCs w:val="44"/>
          <w:u w:val="none"/>
          <w:shd w:val="clear" w:color="auto" w:fill="auto"/>
          <w:lang w:val="en-US" w:eastAsia="zh-CN" w:bidi="zh-TW"/>
        </w:rPr>
        <w:t>（征求意见稿）</w:t>
      </w:r>
    </w:p>
    <w:p>
      <w:pPr>
        <w:pStyle w:val="10"/>
        <w:keepNext w:val="0"/>
        <w:keepLines w:val="0"/>
        <w:widowControl w:val="0"/>
        <w:shd w:val="clear" w:color="auto" w:fill="auto"/>
        <w:bidi w:val="0"/>
        <w:spacing w:before="0" w:after="0" w:line="558" w:lineRule="exact"/>
        <w:ind w:left="0" w:right="0" w:firstLine="660"/>
        <w:jc w:val="both"/>
        <w:rPr>
          <w:rFonts w:hint="eastAsia" w:ascii="仿宋" w:hAnsi="仿宋" w:eastAsia="仿宋" w:cs="仿宋"/>
          <w:color w:val="000000"/>
          <w:spacing w:val="0"/>
          <w:w w:val="100"/>
          <w:position w:val="0"/>
          <w:sz w:val="32"/>
          <w:szCs w:val="32"/>
        </w:rPr>
      </w:pPr>
    </w:p>
    <w:p>
      <w:pPr>
        <w:keepNext w:val="0"/>
        <w:keepLines w:val="0"/>
        <w:pageBreakBefore w:val="0"/>
        <w:widowControl w:val="0"/>
        <w:shd w:val="clear"/>
        <w:kinsoku/>
        <w:wordWrap/>
        <w:overflowPunct/>
        <w:topLinePunct w:val="0"/>
        <w:autoSpaceDE/>
        <w:autoSpaceDN/>
        <w:bidi w:val="0"/>
        <w:adjustRightInd/>
        <w:snapToGrid/>
        <w:spacing w:before="0" w:after="0" w:line="600" w:lineRule="exact"/>
        <w:ind w:left="0" w:right="0" w:firstLine="0"/>
        <w:textAlignment w:val="auto"/>
        <w:rPr>
          <w:rFonts w:hint="default"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pP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各乡镇人民政府，横峰经开区管委会，兴安街道办事处、红桥场、新篁办事处，县直有关部门:</w:t>
      </w:r>
    </w:p>
    <w:p>
      <w:pPr>
        <w:keepNext w:val="0"/>
        <w:keepLines w:val="0"/>
        <w:pageBreakBefore w:val="0"/>
        <w:widowControl w:val="0"/>
        <w:shd w:val="clear"/>
        <w:kinsoku/>
        <w:wordWrap/>
        <w:overflowPunct/>
        <w:topLinePunct w:val="0"/>
        <w:autoSpaceDE/>
        <w:autoSpaceDN/>
        <w:bidi w:val="0"/>
        <w:adjustRightInd/>
        <w:snapToGrid/>
        <w:spacing w:before="0" w:after="0" w:line="600" w:lineRule="exact"/>
        <w:ind w:left="0" w:right="0" w:firstLine="0"/>
        <w:textAlignment w:val="auto"/>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pP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 xml:space="preserve">    </w:t>
      </w:r>
      <w:r>
        <w:rPr>
          <w:rFonts w:hint="default"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按照《国务院关于深化“证照分离”改革进一步激发市场主体发展活力的通知》（国发〔2021〕7号,以下简称《</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国务院</w:t>
      </w:r>
      <w:r>
        <w:rPr>
          <w:rFonts w:hint="default"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通知》）</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w:t>
      </w:r>
      <w:r>
        <w:rPr>
          <w:rFonts w:hint="default"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江西省</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人民政府关于印发</w:t>
      </w:r>
      <w:r>
        <w:rPr>
          <w:rFonts w:hint="default"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深化“证照分离”改革进一步激发市场主体发展活力实施方案</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的通知》（赣府发〔2021〕14号，以下简称《省政府通知》）和《关于印发上饶市深化</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“证照</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分离”改革进一步激发市场主体发展活力实施方案的通知》（饶政务字〔2021〕25号）</w:t>
      </w:r>
      <w:r>
        <w:rPr>
          <w:rFonts w:hint="default"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要求，结合我</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县</w:t>
      </w:r>
      <w:r>
        <w:rPr>
          <w:rFonts w:hint="default"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实际，现就</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衔接落实中央、省级</w:t>
      </w:r>
      <w:r>
        <w:rPr>
          <w:rFonts w:hint="default"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深化“证照分离”改革进一步激发市场主体发展活力</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工作有关事项通知如下：</w:t>
      </w:r>
    </w:p>
    <w:p>
      <w:pPr>
        <w:pStyle w:val="10"/>
        <w:keepNext w:val="0"/>
        <w:keepLines w:val="0"/>
        <w:widowControl w:val="0"/>
        <w:shd w:val="clear" w:color="auto" w:fill="auto"/>
        <w:bidi w:val="0"/>
        <w:spacing w:before="0" w:after="0" w:line="561" w:lineRule="exact"/>
        <w:ind w:left="0" w:leftChars="0" w:right="0" w:firstLine="0" w:firstLineChars="0"/>
        <w:jc w:val="both"/>
        <w:rPr>
          <w:rFonts w:hint="eastAsia" w:ascii="仿宋_GB2312" w:hAnsi="仿宋_GB2312" w:eastAsia="仿宋_GB2312" w:cs="仿宋_GB2312"/>
          <w:b/>
          <w:bCs/>
          <w:snapToGrid w:val="0"/>
          <w:color w:val="000000"/>
          <w:spacing w:val="0"/>
          <w:w w:val="100"/>
          <w:kern w:val="2"/>
          <w:position w:val="0"/>
          <w:sz w:val="36"/>
          <w:szCs w:val="36"/>
          <w:u w:val="none"/>
          <w:shd w:val="clear" w:color="auto" w:fill="auto"/>
          <w:lang w:val="en-US" w:eastAsia="zh-CN" w:bidi="zh-TW"/>
        </w:rPr>
      </w:pPr>
      <w:r>
        <w:rPr>
          <w:rFonts w:hint="eastAsia" w:ascii="仿宋" w:hAnsi="仿宋" w:eastAsia="仿宋" w:cs="仿宋"/>
          <w:color w:val="000000"/>
          <w:spacing w:val="0"/>
          <w:w w:val="100"/>
          <w:position w:val="0"/>
          <w:sz w:val="32"/>
          <w:szCs w:val="32"/>
          <w:lang w:val="en-US" w:eastAsia="zh-CN"/>
        </w:rPr>
        <w:t xml:space="preserve">   </w:t>
      </w:r>
      <w:r>
        <w:rPr>
          <w:rFonts w:hint="eastAsia" w:ascii="仿宋_GB2312" w:hAnsi="仿宋_GB2312" w:eastAsia="仿宋_GB2312" w:cs="仿宋_GB2312"/>
          <w:b/>
          <w:bCs/>
          <w:snapToGrid w:val="0"/>
          <w:color w:val="000000"/>
          <w:spacing w:val="0"/>
          <w:w w:val="100"/>
          <w:kern w:val="2"/>
          <w:position w:val="0"/>
          <w:sz w:val="36"/>
          <w:szCs w:val="36"/>
          <w:u w:val="none"/>
          <w:shd w:val="clear" w:color="auto" w:fill="auto"/>
          <w:lang w:val="en-US" w:eastAsia="zh-CN" w:bidi="zh-TW"/>
        </w:rPr>
        <w:t xml:space="preserve"> 一、总体要求</w:t>
      </w:r>
    </w:p>
    <w:p>
      <w:pPr>
        <w:pStyle w:val="10"/>
        <w:keepNext w:val="0"/>
        <w:keepLines w:val="0"/>
        <w:widowControl w:val="0"/>
        <w:shd w:val="clear" w:color="auto" w:fill="auto"/>
        <w:tabs>
          <w:tab w:val="left" w:pos="1580"/>
        </w:tabs>
        <w:bidi w:val="0"/>
        <w:spacing w:before="0" w:after="0" w:line="561" w:lineRule="exact"/>
        <w:ind w:left="0" w:right="0" w:firstLine="660"/>
        <w:jc w:val="both"/>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pPr>
      <w:bookmarkStart w:id="0" w:name="bookmark12"/>
      <w:r>
        <w:rPr>
          <w:rFonts w:hint="eastAsia" w:ascii="楷体_GB2312" w:hAnsi="楷体_GB2312" w:eastAsia="楷体_GB2312" w:cs="楷体_GB2312"/>
          <w:b w:val="0"/>
          <w:bCs w:val="0"/>
          <w:snapToGrid w:val="0"/>
          <w:color w:val="000000"/>
          <w:spacing w:val="0"/>
          <w:w w:val="100"/>
          <w:kern w:val="2"/>
          <w:position w:val="0"/>
          <w:sz w:val="32"/>
          <w:szCs w:val="32"/>
          <w:u w:val="none"/>
          <w:shd w:val="clear" w:color="auto" w:fill="auto"/>
          <w:lang w:val="en-US" w:eastAsia="zh-CN" w:bidi="zh-TW"/>
        </w:rPr>
        <w:t>（</w:t>
      </w:r>
      <w:bookmarkEnd w:id="0"/>
      <w:r>
        <w:rPr>
          <w:rFonts w:hint="eastAsia" w:ascii="楷体_GB2312" w:hAnsi="楷体_GB2312" w:eastAsia="楷体_GB2312" w:cs="楷体_GB2312"/>
          <w:b w:val="0"/>
          <w:bCs w:val="0"/>
          <w:snapToGrid w:val="0"/>
          <w:color w:val="000000"/>
          <w:spacing w:val="0"/>
          <w:w w:val="100"/>
          <w:kern w:val="2"/>
          <w:position w:val="0"/>
          <w:sz w:val="32"/>
          <w:szCs w:val="32"/>
          <w:u w:val="none"/>
          <w:shd w:val="clear" w:color="auto" w:fill="auto"/>
          <w:lang w:val="en-US" w:eastAsia="zh-CN" w:bidi="zh-TW"/>
        </w:rPr>
        <w:t>一）指导思想。</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以习近平新时代中国特色社会主义思想为指导，全面贯彻党的十九大和十九届二中、三中、四中、五中全会精神，深入贯彻习近平总书记视察江西重要讲话精神，持续深化</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“放</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管服”改革，落实衔接国务院、省政府</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“证</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照分离”改革要求，统筹推进行政审批制度改革和商事制度改革，在更大范围和更多行业推动照后减证和简化审批，创新和加强事中事后监管，实现有效市场与有为政府更好结合，努力打造</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 xml:space="preserve">“政策 </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最优、成本最低、服务最好、办事最快”的</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“四</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最”营商环境，推动经济高质量发展。</w:t>
      </w:r>
    </w:p>
    <w:p>
      <w:pPr>
        <w:pStyle w:val="10"/>
        <w:keepNext w:val="0"/>
        <w:keepLines w:val="0"/>
        <w:widowControl w:val="0"/>
        <w:shd w:val="clear" w:color="auto" w:fill="auto"/>
        <w:tabs>
          <w:tab w:val="left" w:pos="836"/>
        </w:tabs>
        <w:bidi w:val="0"/>
        <w:spacing w:before="0" w:after="0" w:line="561" w:lineRule="exact"/>
        <w:ind w:left="0" w:right="0" w:firstLine="660"/>
        <w:jc w:val="both"/>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pPr>
      <w:bookmarkStart w:id="1" w:name="bookmark13"/>
      <w:r>
        <w:rPr>
          <w:rFonts w:hint="eastAsia" w:ascii="楷体_GB2312" w:hAnsi="楷体_GB2312" w:eastAsia="楷体_GB2312" w:cs="楷体_GB2312"/>
          <w:b w:val="0"/>
          <w:bCs w:val="0"/>
          <w:snapToGrid w:val="0"/>
          <w:color w:val="000000"/>
          <w:spacing w:val="0"/>
          <w:w w:val="100"/>
          <w:kern w:val="2"/>
          <w:position w:val="0"/>
          <w:sz w:val="32"/>
          <w:szCs w:val="32"/>
          <w:u w:val="none"/>
          <w:shd w:val="clear" w:color="auto" w:fill="auto"/>
          <w:lang w:val="en-US" w:eastAsia="zh-CN" w:bidi="zh-TW"/>
        </w:rPr>
        <w:t>（</w:t>
      </w:r>
      <w:bookmarkEnd w:id="1"/>
      <w:r>
        <w:rPr>
          <w:rFonts w:hint="eastAsia" w:ascii="楷体_GB2312" w:hAnsi="楷体_GB2312" w:eastAsia="楷体_GB2312" w:cs="楷体_GB2312"/>
          <w:b w:val="0"/>
          <w:bCs w:val="0"/>
          <w:snapToGrid w:val="0"/>
          <w:color w:val="000000"/>
          <w:spacing w:val="0"/>
          <w:w w:val="100"/>
          <w:kern w:val="2"/>
          <w:position w:val="0"/>
          <w:sz w:val="32"/>
          <w:szCs w:val="32"/>
          <w:u w:val="none"/>
          <w:shd w:val="clear" w:color="auto" w:fill="auto"/>
          <w:lang w:val="en-US" w:eastAsia="zh-CN" w:bidi="zh-TW"/>
        </w:rPr>
        <w:t>二）改革目标。</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衔接落实好《国务院通知》中央层面设定的523项涉企经营许可事项和《省政府通知》地方层面设定的7项涉企经营许可事项，按照</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“直</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接取消审批、审批改为备案、实行告知承诺、优化审批服务”等四种方式衔接落实到位，主管部门尽快修订完善清单内的事项流程、环节、时限等办事指南信息要素，创新监管方式，大幅提高市场主体办事的便利度和可预期性，进一步激发市场主体发展活力。</w:t>
      </w:r>
    </w:p>
    <w:p>
      <w:pPr>
        <w:pStyle w:val="10"/>
        <w:keepNext w:val="0"/>
        <w:keepLines w:val="0"/>
        <w:widowControl w:val="0"/>
        <w:shd w:val="clear" w:color="auto" w:fill="auto"/>
        <w:bidi w:val="0"/>
        <w:spacing w:before="0" w:after="0" w:line="565" w:lineRule="exact"/>
        <w:ind w:left="0" w:right="0" w:firstLine="660"/>
        <w:jc w:val="both"/>
        <w:rPr>
          <w:rFonts w:hint="eastAsia" w:ascii="仿宋_GB2312" w:hAnsi="仿宋_GB2312" w:eastAsia="仿宋_GB2312" w:cs="仿宋_GB2312"/>
          <w:b/>
          <w:bCs/>
          <w:snapToGrid w:val="0"/>
          <w:color w:val="000000"/>
          <w:spacing w:val="0"/>
          <w:w w:val="100"/>
          <w:kern w:val="2"/>
          <w:position w:val="0"/>
          <w:sz w:val="36"/>
          <w:szCs w:val="36"/>
          <w:u w:val="none"/>
          <w:shd w:val="clear" w:color="auto" w:fill="auto"/>
          <w:lang w:val="en-US" w:eastAsia="zh-CN" w:bidi="zh-TW"/>
        </w:rPr>
      </w:pPr>
      <w:r>
        <w:rPr>
          <w:rFonts w:hint="eastAsia" w:ascii="仿宋_GB2312" w:hAnsi="仿宋_GB2312" w:eastAsia="仿宋_GB2312" w:cs="仿宋_GB2312"/>
          <w:b/>
          <w:bCs/>
          <w:snapToGrid w:val="0"/>
          <w:color w:val="000000"/>
          <w:spacing w:val="0"/>
          <w:w w:val="100"/>
          <w:kern w:val="2"/>
          <w:position w:val="0"/>
          <w:sz w:val="36"/>
          <w:szCs w:val="36"/>
          <w:u w:val="none"/>
          <w:shd w:val="clear" w:color="auto" w:fill="auto"/>
          <w:lang w:val="en-US" w:eastAsia="zh-CN" w:bidi="zh-TW"/>
        </w:rPr>
        <w:t>二、改革任务</w:t>
      </w:r>
    </w:p>
    <w:p>
      <w:pPr>
        <w:pStyle w:val="10"/>
        <w:keepNext w:val="0"/>
        <w:keepLines w:val="0"/>
        <w:widowControl w:val="0"/>
        <w:shd w:val="clear" w:color="auto" w:fill="auto"/>
        <w:bidi w:val="0"/>
        <w:spacing w:before="0" w:after="0" w:line="559" w:lineRule="exact"/>
        <w:ind w:left="0" w:right="0" w:firstLine="660"/>
        <w:jc w:val="both"/>
        <w:rPr>
          <w:rFonts w:hint="eastAsia" w:ascii="仿宋_GB2312" w:hAnsi="仿宋_GB2312" w:eastAsia="仿宋_GB2312" w:cs="仿宋_GB2312"/>
          <w:b/>
          <w:bCs/>
          <w:snapToGrid w:val="0"/>
          <w:color w:val="000000"/>
          <w:spacing w:val="0"/>
          <w:w w:val="100"/>
          <w:kern w:val="2"/>
          <w:position w:val="0"/>
          <w:sz w:val="32"/>
          <w:szCs w:val="32"/>
          <w:u w:val="none"/>
          <w:shd w:val="clear" w:color="auto" w:fill="auto"/>
          <w:lang w:val="en-US" w:eastAsia="zh-CN" w:bidi="zh-TW"/>
        </w:rPr>
      </w:pPr>
      <w:r>
        <w:rPr>
          <w:rFonts w:hint="eastAsia" w:ascii="楷体_GB2312" w:hAnsi="楷体_GB2312" w:eastAsia="楷体_GB2312" w:cs="楷体_GB2312"/>
          <w:b w:val="0"/>
          <w:bCs w:val="0"/>
          <w:snapToGrid w:val="0"/>
          <w:color w:val="000000"/>
          <w:spacing w:val="0"/>
          <w:w w:val="100"/>
          <w:kern w:val="2"/>
          <w:position w:val="0"/>
          <w:sz w:val="32"/>
          <w:szCs w:val="32"/>
          <w:u w:val="none"/>
          <w:shd w:val="clear" w:color="auto" w:fill="auto"/>
          <w:lang w:val="en-US" w:eastAsia="zh-CN" w:bidi="zh-TW"/>
        </w:rPr>
        <w:t>（一）认领实施涉改革清单</w:t>
      </w:r>
    </w:p>
    <w:p>
      <w:pPr>
        <w:pStyle w:val="10"/>
        <w:keepNext w:val="0"/>
        <w:keepLines w:val="0"/>
        <w:widowControl w:val="0"/>
        <w:numPr>
          <w:ilvl w:val="0"/>
          <w:numId w:val="1"/>
        </w:numPr>
        <w:shd w:val="clear" w:color="auto" w:fill="auto"/>
        <w:tabs>
          <w:tab w:val="left" w:pos="1009"/>
        </w:tabs>
        <w:bidi w:val="0"/>
        <w:spacing w:before="0" w:after="0" w:line="559" w:lineRule="exact"/>
        <w:ind w:left="0" w:right="0" w:firstLine="660"/>
        <w:jc w:val="both"/>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pPr>
      <w:bookmarkStart w:id="2" w:name="bookmark14"/>
      <w:bookmarkEnd w:id="2"/>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衔接落实全国版、江西版改革清单。根据《中央层面设定的涉企经营许可事项改革清单（2021年全国版）》和《地方层面设定的涉企经营许可事项改革清单（2021年江西版）》事项（已在横峰县人民政府网站公布），涉及县级层面的涉企经营许可事项改革清单共77项（见附件表格），各部门要逐项领取，明确中央层面和省级层面设定事项与我县实际实施事项的对应关系，确保2021年全国版清单（523项）和江西版（7项）确定的改革方式和细化后的改革举措、事中事后监管措施落实到位。</w:t>
      </w:r>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（县直有关单位按职责分工负责）</w:t>
      </w:r>
    </w:p>
    <w:p>
      <w:pPr>
        <w:pStyle w:val="10"/>
        <w:keepNext w:val="0"/>
        <w:keepLines w:val="0"/>
        <w:widowControl w:val="0"/>
        <w:numPr>
          <w:ilvl w:val="0"/>
          <w:numId w:val="1"/>
        </w:numPr>
        <w:shd w:val="clear" w:color="auto" w:fill="auto"/>
        <w:tabs>
          <w:tab w:val="left" w:pos="1019"/>
        </w:tabs>
        <w:bidi w:val="0"/>
        <w:spacing w:before="0" w:after="0" w:line="559" w:lineRule="exact"/>
        <w:ind w:left="0" w:right="0" w:firstLine="660"/>
        <w:jc w:val="both"/>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pPr>
      <w:bookmarkStart w:id="3" w:name="bookmark15"/>
      <w:bookmarkEnd w:id="3"/>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动态管理改革清单。根据法律法规立改废释情况，动态更新涉企经营许可事项改革清单，实行动态管理。各部门要通过横峰县人民政府网向社会公布改革清单以及变更情况。清单之外不得违规限制企业（含个体工商户、农民专业合作社，下同）进入相关行业或领域，企业取得营业执照即可自主开展经营。</w:t>
      </w:r>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（县直有关单位按职责分工负责）</w:t>
      </w:r>
    </w:p>
    <w:p>
      <w:pPr>
        <w:pStyle w:val="10"/>
        <w:keepNext w:val="0"/>
        <w:keepLines w:val="0"/>
        <w:widowControl w:val="0"/>
        <w:shd w:val="clear" w:color="auto" w:fill="auto"/>
        <w:bidi w:val="0"/>
        <w:spacing w:before="0" w:after="0" w:line="562" w:lineRule="exact"/>
        <w:ind w:left="0" w:right="0" w:firstLine="640"/>
        <w:jc w:val="left"/>
        <w:rPr>
          <w:rFonts w:hint="eastAsia" w:ascii="楷体_GB2312" w:hAnsi="楷体_GB2312" w:eastAsia="楷体_GB2312" w:cs="楷体_GB2312"/>
          <w:b w:val="0"/>
          <w:bCs w:val="0"/>
          <w:snapToGrid w:val="0"/>
          <w:color w:val="000000"/>
          <w:spacing w:val="0"/>
          <w:w w:val="100"/>
          <w:kern w:val="2"/>
          <w:position w:val="0"/>
          <w:sz w:val="32"/>
          <w:szCs w:val="32"/>
          <w:u w:val="none"/>
          <w:shd w:val="clear" w:color="auto" w:fill="auto"/>
          <w:lang w:val="en-US" w:eastAsia="zh-CN" w:bidi="zh-TW"/>
        </w:rPr>
      </w:pPr>
      <w:r>
        <w:rPr>
          <w:rFonts w:hint="eastAsia" w:ascii="楷体_GB2312" w:hAnsi="楷体_GB2312" w:eastAsia="楷体_GB2312" w:cs="楷体_GB2312"/>
          <w:b w:val="0"/>
          <w:bCs w:val="0"/>
          <w:snapToGrid w:val="0"/>
          <w:color w:val="000000"/>
          <w:spacing w:val="0"/>
          <w:w w:val="100"/>
          <w:kern w:val="2"/>
          <w:position w:val="0"/>
          <w:sz w:val="32"/>
          <w:szCs w:val="32"/>
          <w:u w:val="none"/>
          <w:shd w:val="clear" w:color="auto" w:fill="auto"/>
          <w:lang w:val="en-US" w:eastAsia="zh-CN" w:bidi="zh-TW"/>
        </w:rPr>
        <w:t>（二）实行分类改革</w:t>
      </w:r>
    </w:p>
    <w:p>
      <w:pPr>
        <w:pStyle w:val="10"/>
        <w:keepNext w:val="0"/>
        <w:keepLines w:val="0"/>
        <w:widowControl w:val="0"/>
        <w:numPr>
          <w:ilvl w:val="0"/>
          <w:numId w:val="0"/>
        </w:numPr>
        <w:shd w:val="clear" w:color="auto" w:fill="auto"/>
        <w:tabs>
          <w:tab w:val="left" w:pos="989"/>
        </w:tabs>
        <w:bidi w:val="0"/>
        <w:spacing w:before="0" w:after="0" w:line="562" w:lineRule="exact"/>
        <w:ind w:right="0" w:rightChars="0" w:firstLine="640" w:firstLineChars="200"/>
        <w:jc w:val="both"/>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pPr>
      <w:bookmarkStart w:id="4" w:name="bookmark16"/>
      <w:bookmarkEnd w:id="4"/>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1.直接取消审批。对于直接取消审批的事项，有关主管部门要停止实施审批。取消审批后，企业取得营业执照即可开展经营，各部门不得要求企业提供相关行政许可证件或者作为评分项。</w:t>
      </w:r>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（县直有关单位按职责分工负责）</w:t>
      </w:r>
    </w:p>
    <w:p>
      <w:pPr>
        <w:pStyle w:val="10"/>
        <w:keepNext w:val="0"/>
        <w:keepLines w:val="0"/>
        <w:widowControl w:val="0"/>
        <w:numPr>
          <w:ilvl w:val="0"/>
          <w:numId w:val="0"/>
        </w:numPr>
        <w:shd w:val="clear" w:color="auto" w:fill="auto"/>
        <w:tabs>
          <w:tab w:val="left" w:pos="989"/>
        </w:tabs>
        <w:bidi w:val="0"/>
        <w:spacing w:before="0" w:after="0" w:line="562" w:lineRule="exact"/>
        <w:ind w:right="0" w:rightChars="0" w:firstLine="640" w:firstLineChars="200"/>
        <w:jc w:val="both"/>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pPr>
      <w:bookmarkStart w:id="5" w:name="bookmark17"/>
      <w:bookmarkEnd w:id="5"/>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2.审批改为备案。对于审批改为备案的事项，原则上实行事后备案，企业取得营业执照即可开展经营；确需事前备案的，企业完成备案手续即可开展经营。有关主管部门要切实精简材料、环节等，及时对外公布办事指南，严禁按原审批方式进行。企业按规定提交备案材料的，有关主管部门应当当场办理备案手续，不得作出不予备案的决定；经形式审查备案材料不完整、不准确的，有关主管部门应当一次性告知需要补齐补正的全部内容。</w:t>
      </w:r>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（县直有关单位按职责分工负责）</w:t>
      </w:r>
    </w:p>
    <w:p>
      <w:pPr>
        <w:pStyle w:val="10"/>
        <w:keepNext w:val="0"/>
        <w:keepLines w:val="0"/>
        <w:widowControl w:val="0"/>
        <w:shd w:val="clear" w:color="auto" w:fill="auto"/>
        <w:bidi w:val="0"/>
        <w:spacing w:before="0" w:after="0" w:line="564" w:lineRule="exact"/>
        <w:ind w:left="0" w:leftChars="0" w:right="0" w:firstLine="640" w:firstLineChars="200"/>
        <w:jc w:val="both"/>
        <w:rPr>
          <w:rFonts w:hint="eastAsia" w:ascii="楷体_GB2312" w:hAnsi="楷体_GB2312" w:eastAsia="楷体_GB2312" w:cs="楷体_GB2312"/>
          <w:b w:val="0"/>
          <w:bCs w:val="0"/>
          <w:snapToGrid w:val="0"/>
          <w:color w:val="000000"/>
          <w:spacing w:val="0"/>
          <w:w w:val="100"/>
          <w:kern w:val="2"/>
          <w:position w:val="0"/>
          <w:sz w:val="32"/>
          <w:szCs w:val="32"/>
          <w:u w:val="none"/>
          <w:shd w:val="clear" w:color="auto" w:fill="auto"/>
          <w:lang w:val="en-US" w:eastAsia="zh-CN" w:bidi="zh-TW"/>
        </w:rPr>
      </w:pPr>
      <w:bookmarkStart w:id="6" w:name="bookmark18"/>
      <w:bookmarkEnd w:id="6"/>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3.实行告知承诺。对实行告知承诺的事项，有关主管部门要尽快公布承诺条件、适用范围、监管规则和违反承诺后果等，及时制定承诺制办事指南、告知承诺书格式文本等，方便企业实施查阅、获取。对企业自愿作出承诺并按要求提交材料的，要当场作出审批决定。对通过告知承诺取得许可的企业要加强事中事后监管和跟踪回访，确有必要的可以通过全覆盖核查排除风险隐患。发现企业不符合许可条件的，要依法调查处理，并将失信违法行为记入企业信用记录，依法依规实施失信惩戒。有关主管部门要及时将企业履行承诺情况纳入信用记录，并依法归集至上饶市公共信用信息平台。</w:t>
      </w:r>
      <w:r>
        <w:rPr>
          <w:rFonts w:hint="eastAsia" w:ascii="楷体_GB2312" w:hAnsi="楷体_GB2312" w:eastAsia="楷体_GB2312" w:cs="楷体_GB2312"/>
          <w:b w:val="0"/>
          <w:bCs w:val="0"/>
          <w:snapToGrid w:val="0"/>
          <w:color w:val="000000"/>
          <w:spacing w:val="0"/>
          <w:w w:val="100"/>
          <w:kern w:val="2"/>
          <w:position w:val="0"/>
          <w:sz w:val="32"/>
          <w:szCs w:val="32"/>
          <w:u w:val="none"/>
          <w:shd w:val="clear" w:color="auto" w:fill="auto"/>
          <w:lang w:val="en-US" w:eastAsia="zh-CN" w:bidi="zh-TW"/>
        </w:rPr>
        <w:t>（县直有关单位按职责分工负责）</w:t>
      </w:r>
    </w:p>
    <w:p>
      <w:pPr>
        <w:pStyle w:val="10"/>
        <w:keepNext w:val="0"/>
        <w:keepLines w:val="0"/>
        <w:widowControl w:val="0"/>
        <w:shd w:val="clear" w:color="auto" w:fill="auto"/>
        <w:bidi w:val="0"/>
        <w:spacing w:before="0" w:after="0" w:line="564" w:lineRule="exact"/>
        <w:ind w:left="0" w:right="0" w:firstLine="640"/>
        <w:jc w:val="both"/>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pP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4.优化审批服务。对优化审批服务的事项，要依法采取下放审批权限、精简许可条件和审批材料、优化审批流程和压减审批时限、取消或者延长许可证件有效期限、取消或者合理放宽数量限制等措施，方便企业办事，减轻企业负担。</w:t>
      </w:r>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（县直有关单位按职责分工负责）</w:t>
      </w:r>
    </w:p>
    <w:p>
      <w:pPr>
        <w:pStyle w:val="10"/>
        <w:keepNext w:val="0"/>
        <w:keepLines w:val="0"/>
        <w:widowControl w:val="0"/>
        <w:shd w:val="clear" w:color="auto" w:fill="auto"/>
        <w:bidi w:val="0"/>
        <w:spacing w:before="0" w:after="0" w:line="564" w:lineRule="exact"/>
        <w:ind w:left="0" w:right="0" w:firstLine="640"/>
        <w:jc w:val="both"/>
        <w:rPr>
          <w:rFonts w:hint="eastAsia" w:ascii="仿宋_GB2312" w:hAnsi="仿宋_GB2312" w:eastAsia="仿宋_GB2312" w:cs="仿宋_GB2312"/>
          <w:b/>
          <w:bCs/>
          <w:snapToGrid w:val="0"/>
          <w:color w:val="000000"/>
          <w:spacing w:val="0"/>
          <w:w w:val="100"/>
          <w:kern w:val="2"/>
          <w:position w:val="0"/>
          <w:sz w:val="32"/>
          <w:szCs w:val="32"/>
          <w:u w:val="none"/>
          <w:shd w:val="clear" w:color="auto" w:fill="auto"/>
          <w:lang w:val="en-US" w:eastAsia="zh-CN" w:bidi="zh-TW"/>
        </w:rPr>
      </w:pPr>
      <w:bookmarkStart w:id="7" w:name="bookmark19"/>
      <w:r>
        <w:rPr>
          <w:rFonts w:hint="eastAsia" w:ascii="仿宋_GB2312" w:hAnsi="仿宋_GB2312" w:eastAsia="仿宋_GB2312" w:cs="仿宋_GB2312"/>
          <w:b/>
          <w:bCs/>
          <w:snapToGrid w:val="0"/>
          <w:color w:val="000000"/>
          <w:spacing w:val="0"/>
          <w:w w:val="100"/>
          <w:kern w:val="2"/>
          <w:position w:val="0"/>
          <w:sz w:val="32"/>
          <w:szCs w:val="32"/>
          <w:u w:val="none"/>
          <w:shd w:val="clear" w:color="auto" w:fill="auto"/>
          <w:lang w:val="en-US" w:eastAsia="zh-CN" w:bidi="zh-TW"/>
        </w:rPr>
        <w:t>三</w:t>
      </w:r>
      <w:bookmarkEnd w:id="7"/>
      <w:r>
        <w:rPr>
          <w:rFonts w:hint="eastAsia" w:ascii="仿宋_GB2312" w:hAnsi="仿宋_GB2312" w:eastAsia="仿宋_GB2312" w:cs="仿宋_GB2312"/>
          <w:b/>
          <w:bCs/>
          <w:snapToGrid w:val="0"/>
          <w:color w:val="000000"/>
          <w:spacing w:val="0"/>
          <w:w w:val="100"/>
          <w:kern w:val="2"/>
          <w:position w:val="0"/>
          <w:sz w:val="32"/>
          <w:szCs w:val="32"/>
          <w:u w:val="none"/>
          <w:shd w:val="clear" w:color="auto" w:fill="auto"/>
          <w:lang w:val="en-US" w:eastAsia="zh-CN" w:bidi="zh-TW"/>
        </w:rPr>
        <w:t>、改革配套</w:t>
      </w:r>
    </w:p>
    <w:p>
      <w:pPr>
        <w:pStyle w:val="10"/>
        <w:keepNext w:val="0"/>
        <w:keepLines w:val="0"/>
        <w:widowControl w:val="0"/>
        <w:shd w:val="clear" w:color="auto" w:fill="auto"/>
        <w:tabs>
          <w:tab w:val="left" w:pos="1583"/>
        </w:tabs>
        <w:bidi w:val="0"/>
        <w:spacing w:before="0" w:after="0" w:line="563" w:lineRule="exact"/>
        <w:ind w:left="0" w:right="0" w:firstLine="640"/>
        <w:jc w:val="both"/>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pPr>
      <w:bookmarkStart w:id="8" w:name="bookmark20"/>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w:t>
      </w:r>
      <w:bookmarkEnd w:id="8"/>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一）深化商事登记制度改革。</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持续推进</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“先照</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后证”改革, 推动将保留的登记注册前置许可改为后置。推行经营范围规范化登记，企业登记机关在登记注册中标识一般经营项目和许可经营项目，并通过省统一政务信息资源共享交换平台向有关主管部门推送企业登记注册信息，有关主管部门要及时接收信息，并将对应许可结果信息反馈企业登记机关。企业超经营范围开展非许可类经营活动的，市场监管部门不予处罚。有关主管部门不得以企业登记的经营范围为由，限制其办理涉企经营许可事项或者其他 政务服务事项。</w:t>
      </w:r>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（县市场监督管理局牵头，县直有关单位按职责分工负责）</w:t>
      </w:r>
    </w:p>
    <w:p>
      <w:pPr>
        <w:pStyle w:val="10"/>
        <w:keepNext w:val="0"/>
        <w:keepLines w:val="0"/>
        <w:widowControl w:val="0"/>
        <w:shd w:val="clear" w:color="auto" w:fill="auto"/>
        <w:tabs>
          <w:tab w:val="left" w:pos="1588"/>
        </w:tabs>
        <w:bidi w:val="0"/>
        <w:spacing w:before="0" w:after="0" w:line="565" w:lineRule="exact"/>
        <w:ind w:left="0" w:right="0" w:firstLine="640"/>
        <w:jc w:val="both"/>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pPr>
      <w:bookmarkStart w:id="9" w:name="bookmark21"/>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w:t>
      </w:r>
      <w:bookmarkEnd w:id="9"/>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二）优化办事流程。</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推进涉企经营许可事项从申请、受理到审核、发证全流程</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“一网</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通办”</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“最</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多跑一次”，让企业更加便捷办理各类许可。凡是通过电子证照或者能够通过信息共享获取的信息，不得要求申请人提供相应材料。</w:t>
      </w:r>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（县政务服务中心牵头，县直有关单位按职责分工负责）</w:t>
      </w:r>
    </w:p>
    <w:p>
      <w:pPr>
        <w:pStyle w:val="10"/>
        <w:keepNext w:val="0"/>
        <w:keepLines w:val="0"/>
        <w:widowControl w:val="0"/>
        <w:shd w:val="clear" w:color="auto" w:fill="auto"/>
        <w:tabs>
          <w:tab w:val="left" w:pos="853"/>
        </w:tabs>
        <w:bidi w:val="0"/>
        <w:spacing w:before="0" w:after="0" w:line="565" w:lineRule="exact"/>
        <w:ind w:left="0" w:right="0" w:firstLine="640"/>
        <w:jc w:val="both"/>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pPr>
      <w:bookmarkStart w:id="10" w:name="bookmark22"/>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w:t>
      </w:r>
      <w:bookmarkEnd w:id="10"/>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三）强化涉企信息归集。</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加强政府部门间涉企基础信息和相关信用信息的互认互用和互联共享。坚持</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“谁</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产生、谁提供、谁负责”，推动涉企信息</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“应归</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尽归”，按照有关法律法规规定, 依托国家企业信用信息公示系统，将各部门产生的企业登记注册、行政许可、备案、行政处罚、纳入经营异常名录和严重违法失信企业名单、抽查检查结果等信息，及时、准确、全面地归集至</w:t>
      </w:r>
      <w:r>
        <w:rPr>
          <w:rFonts w:hint="eastAsia" w:ascii="仿宋_GB2312" w:hAnsi="仿宋_GB2312" w:eastAsia="仿宋_GB2312" w:cs="仿宋_GB2312"/>
          <w:snapToGrid w:val="0"/>
          <w:color w:val="000000" w:themeColor="text1"/>
          <w:spacing w:val="0"/>
          <w:w w:val="100"/>
          <w:kern w:val="2"/>
          <w:position w:val="0"/>
          <w:sz w:val="32"/>
          <w:szCs w:val="32"/>
          <w:u w:val="none"/>
          <w:shd w:val="clear" w:color="auto" w:fill="auto"/>
          <w:lang w:val="en-US" w:eastAsia="zh-CN" w:bidi="zh-TW"/>
          <w14:textFill>
            <w14:solidFill>
              <w14:schemeClr w14:val="tx1"/>
            </w14:solidFill>
          </w14:textFill>
        </w:rPr>
        <w:t>上饶市公共信用信息平台</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，记于企业名下并依法向社会公示。</w:t>
      </w:r>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（县市场监督管理局、县发改委牵头，县直有关单位按职责分工负责）</w:t>
      </w:r>
    </w:p>
    <w:p>
      <w:pPr>
        <w:pStyle w:val="10"/>
        <w:keepNext w:val="0"/>
        <w:keepLines w:val="0"/>
        <w:widowControl w:val="0"/>
        <w:shd w:val="clear" w:color="auto" w:fill="auto"/>
        <w:bidi w:val="0"/>
        <w:spacing w:before="0" w:after="0" w:line="562" w:lineRule="exact"/>
        <w:ind w:left="0" w:right="0" w:firstLine="660"/>
        <w:jc w:val="both"/>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pPr>
      <w:bookmarkStart w:id="11" w:name="bookmark23"/>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w:t>
      </w:r>
      <w:bookmarkEnd w:id="11"/>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四）充分运用电子证照。</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依托全国企业电子证照库、省一 体化政务服务平台、国家企业信用信息公示系统（江西）、</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“赣服</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通”等平台，加强企业电子证照运用，实现跨地区、跨部门互认互信，推广企业</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“亮</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照亮证”，创新</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“免</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证办理</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”模式</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w:t>
      </w:r>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（县政务服务管理办公室、县市场监督管理局、县发改委、县政务服务中心、县大数据发展服务中心牵头，县直有关单位按职责分工负责）</w:t>
      </w:r>
    </w:p>
    <w:p>
      <w:pPr>
        <w:pStyle w:val="10"/>
        <w:keepNext w:val="0"/>
        <w:keepLines w:val="0"/>
        <w:widowControl w:val="0"/>
        <w:shd w:val="clear" w:color="auto" w:fill="auto"/>
        <w:bidi w:val="0"/>
        <w:spacing w:before="0" w:after="0" w:line="562" w:lineRule="exact"/>
        <w:ind w:left="0" w:right="0" w:firstLine="660"/>
        <w:jc w:val="both"/>
        <w:rPr>
          <w:rFonts w:hint="eastAsia" w:ascii="仿宋_GB2312" w:hAnsi="仿宋_GB2312" w:eastAsia="仿宋_GB2312" w:cs="仿宋_GB2312"/>
          <w:b/>
          <w:bCs/>
          <w:snapToGrid w:val="0"/>
          <w:color w:val="000000"/>
          <w:spacing w:val="0"/>
          <w:w w:val="100"/>
          <w:kern w:val="2"/>
          <w:position w:val="0"/>
          <w:sz w:val="32"/>
          <w:szCs w:val="32"/>
          <w:u w:val="none"/>
          <w:shd w:val="clear" w:color="auto" w:fill="auto"/>
          <w:lang w:val="en-US" w:eastAsia="zh-CN" w:bidi="zh-TW"/>
        </w:rPr>
      </w:pPr>
      <w:bookmarkStart w:id="12" w:name="bookmark24"/>
      <w:r>
        <w:rPr>
          <w:rFonts w:hint="eastAsia" w:ascii="仿宋_GB2312" w:hAnsi="仿宋_GB2312" w:eastAsia="仿宋_GB2312" w:cs="仿宋_GB2312"/>
          <w:b/>
          <w:bCs/>
          <w:snapToGrid w:val="0"/>
          <w:color w:val="000000"/>
          <w:spacing w:val="0"/>
          <w:w w:val="100"/>
          <w:kern w:val="2"/>
          <w:position w:val="0"/>
          <w:sz w:val="32"/>
          <w:szCs w:val="32"/>
          <w:u w:val="none"/>
          <w:shd w:val="clear" w:color="auto" w:fill="auto"/>
          <w:lang w:val="en-US" w:eastAsia="zh-CN" w:bidi="zh-TW"/>
        </w:rPr>
        <w:t>四</w:t>
      </w:r>
      <w:bookmarkEnd w:id="12"/>
      <w:r>
        <w:rPr>
          <w:rFonts w:hint="eastAsia" w:ascii="仿宋_GB2312" w:hAnsi="仿宋_GB2312" w:eastAsia="仿宋_GB2312" w:cs="仿宋_GB2312"/>
          <w:b/>
          <w:bCs/>
          <w:snapToGrid w:val="0"/>
          <w:color w:val="000000"/>
          <w:spacing w:val="0"/>
          <w:w w:val="100"/>
          <w:kern w:val="2"/>
          <w:position w:val="0"/>
          <w:sz w:val="32"/>
          <w:szCs w:val="32"/>
          <w:u w:val="none"/>
          <w:shd w:val="clear" w:color="auto" w:fill="auto"/>
          <w:lang w:val="en-US" w:eastAsia="zh-CN" w:bidi="zh-TW"/>
        </w:rPr>
        <w:t>、监管要求</w:t>
      </w:r>
    </w:p>
    <w:p>
      <w:pPr>
        <w:pStyle w:val="10"/>
        <w:keepNext w:val="0"/>
        <w:keepLines w:val="0"/>
        <w:widowControl w:val="0"/>
        <w:shd w:val="clear" w:color="auto" w:fill="auto"/>
        <w:tabs>
          <w:tab w:val="left" w:pos="1615"/>
        </w:tabs>
        <w:bidi w:val="0"/>
        <w:spacing w:before="0" w:after="0" w:line="562" w:lineRule="exact"/>
        <w:ind w:left="0" w:right="0" w:firstLine="660"/>
        <w:jc w:val="both"/>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pPr>
      <w:bookmarkStart w:id="13" w:name="bookmark25"/>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w:t>
      </w:r>
      <w:bookmarkEnd w:id="13"/>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一）明确监管责任。</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市场监管部门要及时将相关企业的设立、变更登记信息通过政务信息共享平台推送至有关主管部门， 按照</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“谁</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审批、谁监管，谁主管、谁监管”原则，有关主管部门及时纳入监管范围，切实履行监管职责，坚决纠正</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“以批</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代管”</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“不批</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不管”问题，防止出现监管真空。</w:t>
      </w:r>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（县直有关单位按职责分工负责）</w:t>
      </w:r>
    </w:p>
    <w:p>
      <w:pPr>
        <w:pStyle w:val="10"/>
        <w:keepNext w:val="0"/>
        <w:keepLines w:val="0"/>
        <w:widowControl w:val="0"/>
        <w:shd w:val="clear" w:color="auto" w:fill="auto"/>
        <w:tabs>
          <w:tab w:val="left" w:pos="1586"/>
        </w:tabs>
        <w:bidi w:val="0"/>
        <w:spacing w:before="0" w:after="0" w:line="562" w:lineRule="exact"/>
        <w:ind w:left="0" w:right="0" w:firstLine="660"/>
        <w:jc w:val="both"/>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pPr>
      <w:bookmarkStart w:id="14" w:name="bookmark26"/>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w:t>
      </w:r>
      <w:bookmarkEnd w:id="14"/>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二）实施分类监管。</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直接取消审批的，有关主管部门要及时掌握新设企业情况，纳入监管范围，依法实施监管；审批改为备案的，要督促有关企业按规定履行备案手续，对未按规定备案或者提交虚假备案材料的要依法调查处理；实行告知承诺的，要重点对企业履行承诺情况进行检查，发现违反承诺的要责令限期整改，逾期不整改或者整改后仍未履行承诺的要依法撤销相关许可，构成违法的要依法予以处罚；下放审批权限的，要同步调整优化监管层级，实现审批监管权责统一。</w:t>
      </w:r>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（县直有关单位按职责分工负责）</w:t>
      </w:r>
    </w:p>
    <w:p>
      <w:pPr>
        <w:pStyle w:val="10"/>
        <w:keepNext w:val="0"/>
        <w:keepLines w:val="0"/>
        <w:widowControl w:val="0"/>
        <w:shd w:val="clear" w:color="auto" w:fill="auto"/>
        <w:bidi w:val="0"/>
        <w:spacing w:before="0" w:after="0" w:line="562" w:lineRule="exact"/>
        <w:ind w:left="0" w:right="0" w:firstLine="640"/>
        <w:jc w:val="both"/>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pPr>
      <w:bookmarkStart w:id="15" w:name="bookmark27"/>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w:t>
      </w:r>
      <w:bookmarkEnd w:id="15"/>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三）完善监管方法。</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探索推进企业信用风险分类管理和智慧监管，有关主管部门要梳理出可以反映企业信用风险状况的信息，通过大数据等技术，自动对企业信用风险状况进行分类，并依据分类结果调整</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“双</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随机、一公开”监管的抽查比例和频次，对不同市场主体实施差别化监管，提升监管的精准度和效能。对一般行业、领域，全面推行</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“双</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随机、一公开”监管，推进常态化部门联合抽查，实现</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“进一</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次门，查多项事”，做到“无事不扰”；对新技术、新产业、新业态、新模式等实行包容审慎监管，量身定制监管模式；对轻微违法行为依法从轻、减轻或者免予行政处罚。</w:t>
      </w:r>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（县直有关单位按职责分工负责）</w:t>
      </w:r>
    </w:p>
    <w:p>
      <w:pPr>
        <w:pStyle w:val="10"/>
        <w:keepNext w:val="0"/>
        <w:keepLines w:val="0"/>
        <w:widowControl w:val="0"/>
        <w:shd w:val="clear" w:color="auto" w:fill="auto"/>
        <w:bidi w:val="0"/>
        <w:spacing w:before="0" w:after="0" w:line="562" w:lineRule="exact"/>
        <w:ind w:left="0" w:right="0" w:firstLine="640"/>
        <w:jc w:val="both"/>
        <w:rPr>
          <w:rFonts w:hint="eastAsia" w:ascii="仿宋_GB2312" w:hAnsi="仿宋_GB2312" w:eastAsia="仿宋_GB2312" w:cs="仿宋_GB2312"/>
          <w:b/>
          <w:bCs/>
          <w:snapToGrid w:val="0"/>
          <w:color w:val="000000"/>
          <w:spacing w:val="0"/>
          <w:w w:val="100"/>
          <w:kern w:val="2"/>
          <w:position w:val="0"/>
          <w:sz w:val="32"/>
          <w:szCs w:val="32"/>
          <w:u w:val="none"/>
          <w:shd w:val="clear" w:color="auto" w:fill="auto"/>
          <w:lang w:val="en-US" w:eastAsia="zh-CN" w:bidi="zh-TW"/>
        </w:rPr>
      </w:pPr>
      <w:bookmarkStart w:id="16" w:name="bookmark28"/>
      <w:r>
        <w:rPr>
          <w:rFonts w:hint="eastAsia" w:ascii="仿宋_GB2312" w:hAnsi="仿宋_GB2312" w:eastAsia="仿宋_GB2312" w:cs="仿宋_GB2312"/>
          <w:b/>
          <w:bCs/>
          <w:snapToGrid w:val="0"/>
          <w:color w:val="000000"/>
          <w:spacing w:val="0"/>
          <w:w w:val="100"/>
          <w:kern w:val="2"/>
          <w:position w:val="0"/>
          <w:sz w:val="32"/>
          <w:szCs w:val="32"/>
          <w:u w:val="none"/>
          <w:shd w:val="clear" w:color="auto" w:fill="auto"/>
          <w:lang w:val="en-US" w:eastAsia="zh-CN" w:bidi="zh-TW"/>
        </w:rPr>
        <w:t>五</w:t>
      </w:r>
      <w:bookmarkEnd w:id="16"/>
      <w:r>
        <w:rPr>
          <w:rFonts w:hint="eastAsia" w:ascii="仿宋_GB2312" w:hAnsi="仿宋_GB2312" w:eastAsia="仿宋_GB2312" w:cs="仿宋_GB2312"/>
          <w:b/>
          <w:bCs/>
          <w:snapToGrid w:val="0"/>
          <w:color w:val="000000"/>
          <w:spacing w:val="0"/>
          <w:w w:val="100"/>
          <w:kern w:val="2"/>
          <w:position w:val="0"/>
          <w:sz w:val="32"/>
          <w:szCs w:val="32"/>
          <w:u w:val="none"/>
          <w:shd w:val="clear" w:color="auto" w:fill="auto"/>
          <w:lang w:val="en-US" w:eastAsia="zh-CN" w:bidi="zh-TW"/>
        </w:rPr>
        <w:t>、组织保障</w:t>
      </w:r>
    </w:p>
    <w:p>
      <w:pPr>
        <w:pStyle w:val="10"/>
        <w:keepNext w:val="0"/>
        <w:keepLines w:val="0"/>
        <w:widowControl w:val="0"/>
        <w:shd w:val="clear" w:color="auto" w:fill="auto"/>
        <w:bidi w:val="0"/>
        <w:spacing w:before="0" w:after="0" w:line="562" w:lineRule="exact"/>
        <w:ind w:left="0" w:right="0" w:firstLine="640"/>
        <w:jc w:val="both"/>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pPr>
      <w:bookmarkStart w:id="17" w:name="bookmark29"/>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w:t>
      </w:r>
      <w:bookmarkEnd w:id="17"/>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一）健全工作机制。</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建立由县政务服务管理办公室、县市场监督管理局、县司法局牵头，各涉企经营许可事项主管部门分工负责的工作协调机制，强化责任落实，扎实推进改革。县政务服务管理办公室负责改革工作的牵头抓总、组织实施，会同有关部门开展督促督办。县市场监督管理局负责商事制度改革、证照关系理清、涉企信息归集等工作。县司法局负责相关法治保障工作。</w:t>
      </w:r>
    </w:p>
    <w:p>
      <w:pPr>
        <w:pStyle w:val="10"/>
        <w:keepNext w:val="0"/>
        <w:keepLines w:val="0"/>
        <w:widowControl w:val="0"/>
        <w:shd w:val="clear" w:color="auto" w:fill="auto"/>
        <w:tabs>
          <w:tab w:val="left" w:pos="1621"/>
        </w:tabs>
        <w:bidi w:val="0"/>
        <w:spacing w:before="0" w:after="0" w:line="574" w:lineRule="exact"/>
        <w:ind w:left="0" w:right="0" w:firstLine="660"/>
        <w:jc w:val="both"/>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pPr>
      <w:bookmarkStart w:id="18" w:name="bookmark30"/>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w:t>
      </w:r>
      <w:bookmarkEnd w:id="18"/>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二）加强法治保障。</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各部门要根据法律、行政法规的调整情况，对规范性文件作相应调整，建立与改革要求相适应的管理制度。</w:t>
      </w:r>
    </w:p>
    <w:p>
      <w:pPr>
        <w:pStyle w:val="10"/>
        <w:keepNext w:val="0"/>
        <w:keepLines w:val="0"/>
        <w:widowControl w:val="0"/>
        <w:shd w:val="clear" w:color="auto" w:fill="auto"/>
        <w:tabs>
          <w:tab w:val="left" w:pos="1640"/>
        </w:tabs>
        <w:bidi w:val="0"/>
        <w:spacing w:before="0" w:after="540" w:line="567" w:lineRule="exact"/>
        <w:ind w:left="0" w:right="0" w:firstLine="660"/>
        <w:jc w:val="both"/>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pPr>
      <w:bookmarkStart w:id="19" w:name="bookmark31"/>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w:t>
      </w:r>
      <w:bookmarkEnd w:id="19"/>
      <w:r>
        <w:rPr>
          <w:rFonts w:hint="eastAsia" w:ascii="楷体_GB2312" w:hAnsi="楷体_GB2312" w:eastAsia="楷体_GB2312" w:cs="楷体_GB2312"/>
          <w:snapToGrid w:val="0"/>
          <w:color w:val="000000"/>
          <w:spacing w:val="0"/>
          <w:w w:val="100"/>
          <w:kern w:val="2"/>
          <w:position w:val="0"/>
          <w:sz w:val="32"/>
          <w:szCs w:val="32"/>
          <w:u w:val="none"/>
          <w:shd w:val="clear" w:color="auto" w:fill="auto"/>
          <w:lang w:val="en-US" w:eastAsia="zh-CN" w:bidi="zh-TW"/>
        </w:rPr>
        <w:t>三）强化工作落实。</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各部门在实施中要严格遵循国务院确定的分类改革原则和要求，细化改革举措和事中事后监管措施， 创新实施方式，不得随意降低标准，不得随意搞变通，让企业充分享受改革红利。各部门要及时总结</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zh-CN" w:eastAsia="zh-CN" w:bidi="zh-TW"/>
        </w:rPr>
        <w:t>“证照</w:t>
      </w:r>
      <w:r>
        <w:rPr>
          <w:rFonts w:hint="eastAsia" w:ascii="仿宋_GB2312" w:hAnsi="仿宋_GB2312" w:eastAsia="仿宋_GB2312" w:cs="仿宋_GB2312"/>
          <w:snapToGrid w:val="0"/>
          <w:color w:val="000000"/>
          <w:spacing w:val="0"/>
          <w:w w:val="100"/>
          <w:kern w:val="2"/>
          <w:position w:val="0"/>
          <w:sz w:val="32"/>
          <w:szCs w:val="32"/>
          <w:u w:val="none"/>
          <w:shd w:val="clear" w:color="auto" w:fill="auto"/>
          <w:lang w:val="en-US" w:eastAsia="zh-CN" w:bidi="zh-TW"/>
        </w:rPr>
        <w:t>分离”改革的进展和成效，积极宣传改革过程中的典型案例，形成可复制推广的经验做法。</w:t>
      </w:r>
    </w:p>
    <w:p>
      <w:pPr>
        <w:pStyle w:val="10"/>
        <w:keepNext w:val="0"/>
        <w:keepLines w:val="0"/>
        <w:widowControl w:val="0"/>
        <w:shd w:val="clear" w:color="auto" w:fill="auto"/>
        <w:bidi w:val="0"/>
        <w:spacing w:before="0" w:after="0" w:line="570" w:lineRule="exact"/>
        <w:ind w:left="0" w:right="0" w:firstLine="660"/>
        <w:jc w:val="left"/>
        <w:rPr>
          <w:rFonts w:hint="eastAsia" w:ascii="仿宋_GB2312" w:hAnsi="仿宋_GB2312" w:eastAsia="仿宋_GB2312" w:cs="仿宋_GB2312"/>
          <w:color w:val="000000"/>
          <w:spacing w:val="0"/>
          <w:w w:val="100"/>
          <w:position w:val="0"/>
          <w:sz w:val="32"/>
          <w:szCs w:val="32"/>
          <w:lang w:eastAsia="zh-CN"/>
        </w:rPr>
      </w:pPr>
      <w:r>
        <w:rPr>
          <w:rFonts w:hint="eastAsia" w:ascii="仿宋_GB2312" w:hAnsi="仿宋_GB2312" w:eastAsia="仿宋_GB2312" w:cs="仿宋_GB2312"/>
          <w:color w:val="000000"/>
          <w:spacing w:val="0"/>
          <w:w w:val="100"/>
          <w:position w:val="0"/>
          <w:sz w:val="32"/>
          <w:szCs w:val="32"/>
        </w:rPr>
        <w:t>附件：1.中央层面设定的涉企经营许可事项</w:t>
      </w:r>
      <w:r>
        <w:rPr>
          <w:rFonts w:hint="eastAsia" w:ascii="仿宋_GB2312" w:hAnsi="仿宋_GB2312" w:eastAsia="仿宋_GB2312" w:cs="仿宋_GB2312"/>
          <w:color w:val="000000"/>
          <w:spacing w:val="0"/>
          <w:w w:val="100"/>
          <w:position w:val="0"/>
          <w:sz w:val="32"/>
          <w:szCs w:val="32"/>
          <w:lang w:eastAsia="zh-CN"/>
        </w:rPr>
        <w:t>涉及县级层面的</w:t>
      </w:r>
    </w:p>
    <w:p>
      <w:pPr>
        <w:pStyle w:val="10"/>
        <w:keepNext w:val="0"/>
        <w:keepLines w:val="0"/>
        <w:widowControl w:val="0"/>
        <w:shd w:val="clear" w:color="auto" w:fill="auto"/>
        <w:bidi w:val="0"/>
        <w:spacing w:before="0" w:after="0" w:line="570" w:lineRule="exact"/>
        <w:ind w:left="0" w:right="0" w:firstLine="66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color w:val="000000"/>
          <w:spacing w:val="0"/>
          <w:w w:val="100"/>
          <w:position w:val="0"/>
          <w:sz w:val="32"/>
          <w:szCs w:val="32"/>
          <w:lang w:val="en-US" w:eastAsia="zh-CN"/>
        </w:rPr>
        <w:t xml:space="preserve">        </w:t>
      </w:r>
      <w:r>
        <w:rPr>
          <w:rFonts w:hint="eastAsia" w:ascii="仿宋_GB2312" w:hAnsi="仿宋_GB2312" w:eastAsia="仿宋_GB2312" w:cs="仿宋_GB2312"/>
          <w:color w:val="000000"/>
          <w:spacing w:val="0"/>
          <w:w w:val="100"/>
          <w:position w:val="0"/>
          <w:sz w:val="32"/>
          <w:szCs w:val="32"/>
        </w:rPr>
        <w:t>改革清单</w:t>
      </w:r>
      <w:r>
        <w:rPr>
          <w:rFonts w:hint="eastAsia" w:ascii="仿宋_GB2312" w:hAnsi="仿宋_GB2312" w:eastAsia="仿宋_GB2312" w:cs="仿宋_GB2312"/>
          <w:color w:val="000000"/>
          <w:spacing w:val="0"/>
          <w:w w:val="100"/>
          <w:position w:val="0"/>
          <w:sz w:val="32"/>
          <w:szCs w:val="32"/>
          <w:lang w:eastAsia="zh-CN"/>
        </w:rPr>
        <w:t>（</w:t>
      </w:r>
      <w:r>
        <w:rPr>
          <w:rFonts w:hint="eastAsia" w:ascii="仿宋_GB2312" w:hAnsi="仿宋_GB2312" w:eastAsia="仿宋_GB2312" w:cs="仿宋_GB2312"/>
          <w:color w:val="000000"/>
          <w:spacing w:val="0"/>
          <w:w w:val="100"/>
          <w:position w:val="0"/>
          <w:sz w:val="32"/>
          <w:szCs w:val="32"/>
          <w:lang w:val="en-US" w:eastAsia="zh-CN"/>
        </w:rPr>
        <w:t>72</w:t>
      </w:r>
      <w:r>
        <w:rPr>
          <w:rFonts w:hint="eastAsia" w:ascii="仿宋_GB2312" w:hAnsi="仿宋_GB2312" w:eastAsia="仿宋_GB2312" w:cs="仿宋_GB2312"/>
          <w:color w:val="000000"/>
          <w:spacing w:val="0"/>
          <w:w w:val="100"/>
          <w:position w:val="0"/>
          <w:sz w:val="32"/>
          <w:szCs w:val="32"/>
          <w:lang w:eastAsia="zh-CN"/>
        </w:rPr>
        <w:t>项）</w:t>
      </w:r>
    </w:p>
    <w:p>
      <w:pPr>
        <w:pStyle w:val="10"/>
        <w:keepNext w:val="0"/>
        <w:keepLines w:val="0"/>
        <w:widowControl w:val="0"/>
        <w:numPr>
          <w:ilvl w:val="0"/>
          <w:numId w:val="0"/>
        </w:numPr>
        <w:shd w:val="clear" w:color="auto" w:fill="auto"/>
        <w:tabs>
          <w:tab w:val="left" w:pos="2007"/>
        </w:tabs>
        <w:bidi w:val="0"/>
        <w:spacing w:before="0" w:after="0" w:line="570" w:lineRule="exact"/>
        <w:ind w:left="660" w:leftChars="0" w:right="0" w:rightChars="0"/>
        <w:jc w:val="left"/>
        <w:rPr>
          <w:rFonts w:hint="eastAsia" w:ascii="仿宋_GB2312" w:hAnsi="仿宋_GB2312" w:eastAsia="仿宋_GB2312" w:cs="仿宋_GB2312"/>
          <w:color w:val="000000"/>
          <w:spacing w:val="0"/>
          <w:w w:val="100"/>
          <w:position w:val="0"/>
          <w:sz w:val="32"/>
          <w:szCs w:val="32"/>
          <w:lang w:val="en-US" w:eastAsia="zh-CN"/>
        </w:rPr>
      </w:pPr>
      <w:bookmarkStart w:id="20" w:name="bookmark32"/>
      <w:bookmarkEnd w:id="20"/>
      <w:r>
        <w:rPr>
          <w:rFonts w:hint="eastAsia" w:ascii="仿宋_GB2312" w:hAnsi="仿宋_GB2312" w:eastAsia="仿宋_GB2312" w:cs="仿宋_GB2312"/>
          <w:color w:val="000000"/>
          <w:spacing w:val="0"/>
          <w:w w:val="100"/>
          <w:position w:val="0"/>
          <w:sz w:val="32"/>
          <w:szCs w:val="32"/>
          <w:lang w:val="en-US" w:eastAsia="zh-CN"/>
        </w:rPr>
        <w:t xml:space="preserve">      2.</w:t>
      </w:r>
      <w:r>
        <w:rPr>
          <w:rFonts w:hint="eastAsia" w:ascii="仿宋_GB2312" w:hAnsi="仿宋_GB2312" w:eastAsia="仿宋_GB2312" w:cs="仿宋_GB2312"/>
          <w:color w:val="000000"/>
          <w:spacing w:val="0"/>
          <w:w w:val="100"/>
          <w:position w:val="0"/>
          <w:sz w:val="32"/>
          <w:szCs w:val="32"/>
        </w:rPr>
        <w:t>地方层面设定的涉企经营许可事项</w:t>
      </w:r>
      <w:r>
        <w:rPr>
          <w:rFonts w:hint="eastAsia" w:ascii="仿宋_GB2312" w:hAnsi="仿宋_GB2312" w:eastAsia="仿宋_GB2312" w:cs="仿宋_GB2312"/>
          <w:color w:val="000000"/>
          <w:spacing w:val="0"/>
          <w:w w:val="100"/>
          <w:position w:val="0"/>
          <w:sz w:val="32"/>
          <w:szCs w:val="32"/>
          <w:lang w:eastAsia="zh-CN"/>
        </w:rPr>
        <w:t>涉及县级层面的</w:t>
      </w:r>
      <w:r>
        <w:rPr>
          <w:rFonts w:hint="eastAsia" w:ascii="仿宋_GB2312" w:hAnsi="仿宋_GB2312" w:eastAsia="仿宋_GB2312" w:cs="仿宋_GB2312"/>
          <w:color w:val="000000"/>
          <w:spacing w:val="0"/>
          <w:w w:val="100"/>
          <w:position w:val="0"/>
          <w:sz w:val="32"/>
          <w:szCs w:val="32"/>
          <w:lang w:val="en-US" w:eastAsia="zh-CN"/>
        </w:rPr>
        <w:t xml:space="preserve">  </w:t>
      </w:r>
    </w:p>
    <w:p>
      <w:pPr>
        <w:pStyle w:val="10"/>
        <w:keepNext w:val="0"/>
        <w:keepLines w:val="0"/>
        <w:widowControl w:val="0"/>
        <w:numPr>
          <w:ilvl w:val="0"/>
          <w:numId w:val="0"/>
        </w:numPr>
        <w:shd w:val="clear" w:color="auto" w:fill="auto"/>
        <w:tabs>
          <w:tab w:val="left" w:pos="2007"/>
        </w:tabs>
        <w:bidi w:val="0"/>
        <w:spacing w:before="0" w:after="0" w:line="570" w:lineRule="exact"/>
        <w:ind w:left="660" w:leftChars="0" w:right="0" w:rightChars="0"/>
        <w:jc w:val="left"/>
        <w:rPr>
          <w:rFonts w:hint="eastAsia" w:ascii="仿宋_GB2312" w:hAnsi="仿宋_GB2312" w:eastAsia="仿宋_GB2312" w:cs="仿宋_GB2312"/>
          <w:color w:val="000000"/>
          <w:spacing w:val="0"/>
          <w:w w:val="100"/>
          <w:position w:val="0"/>
          <w:sz w:val="32"/>
          <w:szCs w:val="32"/>
          <w:lang w:eastAsia="zh-CN"/>
        </w:rPr>
      </w:pPr>
      <w:r>
        <w:rPr>
          <w:rFonts w:hint="eastAsia" w:ascii="仿宋_GB2312" w:hAnsi="仿宋_GB2312" w:eastAsia="仿宋_GB2312" w:cs="仿宋_GB2312"/>
          <w:color w:val="000000"/>
          <w:spacing w:val="0"/>
          <w:w w:val="100"/>
          <w:position w:val="0"/>
          <w:sz w:val="32"/>
          <w:szCs w:val="32"/>
          <w:lang w:val="en-US" w:eastAsia="zh-CN"/>
        </w:rPr>
        <w:t xml:space="preserve">        </w:t>
      </w:r>
      <w:r>
        <w:rPr>
          <w:rFonts w:hint="eastAsia" w:ascii="仿宋_GB2312" w:hAnsi="仿宋_GB2312" w:eastAsia="仿宋_GB2312" w:cs="仿宋_GB2312"/>
          <w:color w:val="000000"/>
          <w:spacing w:val="0"/>
          <w:w w:val="100"/>
          <w:position w:val="0"/>
          <w:sz w:val="32"/>
          <w:szCs w:val="32"/>
        </w:rPr>
        <w:t>改革清单</w:t>
      </w:r>
      <w:r>
        <w:rPr>
          <w:rFonts w:hint="eastAsia" w:ascii="仿宋_GB2312" w:hAnsi="仿宋_GB2312" w:eastAsia="仿宋_GB2312" w:cs="仿宋_GB2312"/>
          <w:color w:val="000000"/>
          <w:spacing w:val="0"/>
          <w:w w:val="100"/>
          <w:position w:val="0"/>
          <w:sz w:val="32"/>
          <w:szCs w:val="32"/>
          <w:lang w:eastAsia="zh-CN"/>
        </w:rPr>
        <w:t>（</w:t>
      </w:r>
      <w:r>
        <w:rPr>
          <w:rFonts w:hint="eastAsia" w:ascii="仿宋_GB2312" w:hAnsi="仿宋_GB2312" w:eastAsia="仿宋_GB2312" w:cs="仿宋_GB2312"/>
          <w:color w:val="000000"/>
          <w:spacing w:val="0"/>
          <w:w w:val="100"/>
          <w:position w:val="0"/>
          <w:sz w:val="32"/>
          <w:szCs w:val="32"/>
          <w:lang w:val="en-US" w:eastAsia="zh-CN"/>
        </w:rPr>
        <w:t>5项</w:t>
      </w:r>
      <w:r>
        <w:rPr>
          <w:rFonts w:hint="eastAsia" w:ascii="仿宋_GB2312" w:hAnsi="仿宋_GB2312" w:eastAsia="仿宋_GB2312" w:cs="仿宋_GB2312"/>
          <w:color w:val="000000"/>
          <w:spacing w:val="0"/>
          <w:w w:val="100"/>
          <w:position w:val="0"/>
          <w:sz w:val="32"/>
          <w:szCs w:val="32"/>
          <w:lang w:eastAsia="zh-CN"/>
        </w:rPr>
        <w:t>）</w:t>
      </w:r>
    </w:p>
    <w:p>
      <w:pPr>
        <w:pStyle w:val="10"/>
        <w:keepNext w:val="0"/>
        <w:keepLines w:val="0"/>
        <w:widowControl w:val="0"/>
        <w:numPr>
          <w:ilvl w:val="0"/>
          <w:numId w:val="0"/>
        </w:numPr>
        <w:shd w:val="clear" w:color="auto" w:fill="auto"/>
        <w:tabs>
          <w:tab w:val="left" w:pos="2007"/>
        </w:tabs>
        <w:bidi w:val="0"/>
        <w:spacing w:before="0" w:after="0" w:line="570" w:lineRule="exact"/>
        <w:ind w:left="660" w:leftChars="0" w:right="0" w:rightChars="0"/>
        <w:jc w:val="left"/>
        <w:rPr>
          <w:rFonts w:hint="eastAsia" w:ascii="仿宋_GB2312" w:hAnsi="仿宋_GB2312" w:eastAsia="仿宋_GB2312" w:cs="仿宋_GB2312"/>
          <w:color w:val="000000"/>
          <w:spacing w:val="0"/>
          <w:w w:val="100"/>
          <w:position w:val="0"/>
          <w:sz w:val="32"/>
          <w:szCs w:val="32"/>
          <w:lang w:eastAsia="zh-CN"/>
        </w:rPr>
      </w:pPr>
    </w:p>
    <w:p>
      <w:pPr>
        <w:pStyle w:val="10"/>
        <w:keepNext w:val="0"/>
        <w:keepLines w:val="0"/>
        <w:widowControl w:val="0"/>
        <w:numPr>
          <w:ilvl w:val="0"/>
          <w:numId w:val="0"/>
        </w:numPr>
        <w:shd w:val="clear" w:color="auto" w:fill="auto"/>
        <w:tabs>
          <w:tab w:val="left" w:pos="2007"/>
        </w:tabs>
        <w:bidi w:val="0"/>
        <w:spacing w:before="0" w:after="0" w:line="570" w:lineRule="exact"/>
        <w:ind w:left="660" w:leftChars="0" w:right="0" w:rightChars="0"/>
        <w:jc w:val="center"/>
        <w:rPr>
          <w:rFonts w:hint="eastAsia" w:ascii="仿宋_GB2312" w:hAnsi="仿宋_GB2312" w:eastAsia="仿宋_GB2312" w:cs="仿宋_GB2312"/>
          <w:color w:val="000000"/>
          <w:spacing w:val="0"/>
          <w:w w:val="100"/>
          <w:position w:val="0"/>
          <w:sz w:val="32"/>
          <w:szCs w:val="32"/>
          <w:lang w:val="en" w:eastAsia="zh-CN"/>
        </w:rPr>
      </w:pPr>
      <w:r>
        <w:rPr>
          <w:rFonts w:hint="eastAsia" w:ascii="仿宋_GB2312" w:hAnsi="仿宋_GB2312" w:eastAsia="仿宋_GB2312" w:cs="仿宋_GB2312"/>
          <w:color w:val="000000"/>
          <w:spacing w:val="0"/>
          <w:w w:val="100"/>
          <w:position w:val="0"/>
          <w:sz w:val="32"/>
          <w:szCs w:val="32"/>
          <w:lang w:val="en-US" w:eastAsia="zh-CN"/>
        </w:rPr>
        <w:t xml:space="preserve">                       </w:t>
      </w:r>
      <w:r>
        <w:rPr>
          <w:rFonts w:hint="eastAsia" w:ascii="仿宋_GB2312" w:hAnsi="仿宋_GB2312" w:eastAsia="仿宋_GB2312" w:cs="仿宋_GB2312"/>
          <w:color w:val="000000"/>
          <w:spacing w:val="0"/>
          <w:w w:val="100"/>
          <w:position w:val="0"/>
          <w:sz w:val="32"/>
          <w:szCs w:val="32"/>
          <w:lang w:val="en" w:eastAsia="zh-CN"/>
        </w:rPr>
        <w:t>横峰县人民政府</w:t>
      </w:r>
    </w:p>
    <w:p>
      <w:pPr>
        <w:pStyle w:val="10"/>
        <w:keepNext w:val="0"/>
        <w:keepLines w:val="0"/>
        <w:widowControl w:val="0"/>
        <w:numPr>
          <w:ilvl w:val="0"/>
          <w:numId w:val="0"/>
        </w:numPr>
        <w:shd w:val="clear" w:color="auto" w:fill="auto"/>
        <w:tabs>
          <w:tab w:val="left" w:pos="2007"/>
        </w:tabs>
        <w:bidi w:val="0"/>
        <w:spacing w:before="0" w:after="0" w:line="570" w:lineRule="exact"/>
        <w:ind w:left="660" w:leftChars="0" w:right="0" w:rightChars="0"/>
        <w:jc w:val="both"/>
        <w:rPr>
          <w:rFonts w:hint="default" w:ascii="仿宋_GB2312" w:hAnsi="仿宋_GB2312" w:eastAsia="仿宋_GB2312" w:cs="仿宋_GB2312"/>
          <w:color w:val="000000"/>
          <w:spacing w:val="0"/>
          <w:w w:val="100"/>
          <w:position w:val="0"/>
          <w:sz w:val="32"/>
          <w:szCs w:val="32"/>
          <w:lang w:val="en-US" w:eastAsia="zh-CN"/>
        </w:rPr>
      </w:pPr>
      <w:r>
        <w:rPr>
          <w:rFonts w:hint="eastAsia" w:ascii="仿宋_GB2312" w:hAnsi="仿宋_GB2312" w:eastAsia="仿宋_GB2312" w:cs="仿宋_GB2312"/>
          <w:color w:val="000000"/>
          <w:spacing w:val="0"/>
          <w:w w:val="100"/>
          <w:position w:val="0"/>
          <w:sz w:val="32"/>
          <w:szCs w:val="32"/>
          <w:lang w:val="en-US" w:eastAsia="zh-CN"/>
        </w:rPr>
        <w:t xml:space="preserve">                               2021年</w:t>
      </w:r>
      <w:r>
        <w:rPr>
          <w:rFonts w:hint="default" w:ascii="仿宋_GB2312" w:hAnsi="仿宋_GB2312" w:eastAsia="仿宋_GB2312" w:cs="仿宋_GB2312"/>
          <w:color w:val="000000"/>
          <w:spacing w:val="0"/>
          <w:w w:val="100"/>
          <w:position w:val="0"/>
          <w:sz w:val="32"/>
          <w:szCs w:val="32"/>
          <w:lang w:val="en" w:eastAsia="zh-CN"/>
        </w:rPr>
        <w:t xml:space="preserve">  </w:t>
      </w:r>
      <w:bookmarkStart w:id="21" w:name="_GoBack"/>
      <w:bookmarkEnd w:id="21"/>
      <w:r>
        <w:rPr>
          <w:rFonts w:hint="eastAsia" w:ascii="仿宋_GB2312" w:hAnsi="仿宋_GB2312" w:eastAsia="仿宋_GB2312" w:cs="仿宋_GB2312"/>
          <w:color w:val="000000"/>
          <w:spacing w:val="0"/>
          <w:w w:val="100"/>
          <w:position w:val="0"/>
          <w:sz w:val="32"/>
          <w:szCs w:val="32"/>
          <w:lang w:val="en-US" w:eastAsia="zh-CN"/>
        </w:rPr>
        <w:t>月</w:t>
      </w:r>
      <w:r>
        <w:rPr>
          <w:rFonts w:hint="default" w:ascii="仿宋_GB2312" w:hAnsi="仿宋_GB2312" w:eastAsia="仿宋_GB2312" w:cs="仿宋_GB2312"/>
          <w:color w:val="000000"/>
          <w:spacing w:val="0"/>
          <w:w w:val="100"/>
          <w:position w:val="0"/>
          <w:sz w:val="32"/>
          <w:szCs w:val="32"/>
          <w:lang w:val="en" w:eastAsia="zh-CN"/>
        </w:rPr>
        <w:t xml:space="preserve">  </w:t>
      </w:r>
      <w:r>
        <w:rPr>
          <w:rFonts w:hint="eastAsia" w:ascii="仿宋_GB2312" w:hAnsi="仿宋_GB2312" w:eastAsia="仿宋_GB2312" w:cs="仿宋_GB2312"/>
          <w:color w:val="000000"/>
          <w:spacing w:val="0"/>
          <w:w w:val="100"/>
          <w:position w:val="0"/>
          <w:sz w:val="32"/>
          <w:szCs w:val="32"/>
          <w:lang w:val="en-US" w:eastAsia="zh-CN"/>
        </w:rPr>
        <w:t>日</w:t>
      </w:r>
    </w:p>
    <w:p>
      <w:pPr>
        <w:pStyle w:val="10"/>
        <w:keepNext w:val="0"/>
        <w:keepLines w:val="0"/>
        <w:widowControl w:val="0"/>
        <w:numPr>
          <w:ilvl w:val="0"/>
          <w:numId w:val="0"/>
        </w:numPr>
        <w:shd w:val="clear" w:color="auto" w:fill="auto"/>
        <w:tabs>
          <w:tab w:val="left" w:pos="2007"/>
        </w:tabs>
        <w:bidi w:val="0"/>
        <w:spacing w:before="0" w:after="2220" w:line="570" w:lineRule="exact"/>
        <w:ind w:left="1620" w:leftChars="0" w:right="0" w:rightChars="0"/>
        <w:jc w:val="left"/>
        <w:rPr>
          <w:rFonts w:hint="eastAsia" w:ascii="仿宋_GB2312" w:hAnsi="仿宋_GB2312" w:eastAsia="仿宋_GB2312" w:cs="仿宋_GB2312"/>
          <w:sz w:val="32"/>
          <w:szCs w:val="32"/>
          <w:lang w:val="en" w:eastAsia="zh-CN"/>
        </w:rPr>
      </w:pPr>
      <w:r>
        <w:rPr>
          <w:rFonts w:hint="eastAsia" w:ascii="仿宋_GB2312" w:hAnsi="仿宋_GB2312" w:eastAsia="仿宋_GB2312" w:cs="仿宋_GB2312"/>
          <w:sz w:val="32"/>
          <w:szCs w:val="32"/>
          <w:lang w:val="en-US" w:eastAsia="zh-CN"/>
        </w:rPr>
        <w:t xml:space="preserve">                                        </w:t>
      </w:r>
    </w:p>
    <w:sectPr>
      <w:footerReference r:id="rId5" w:type="default"/>
      <w:footerReference r:id="rId6" w:type="even"/>
      <w:footnotePr>
        <w:numFmt w:val="decimal"/>
      </w:footnotePr>
      <w:type w:val="continuous"/>
      <w:pgSz w:w="11900" w:h="16840"/>
      <w:pgMar w:top="1911" w:right="1305" w:bottom="1794" w:left="1485" w:header="0" w:footer="3" w:gutter="0"/>
      <w:cols w:space="720" w:num="1"/>
      <w:rtlGutter w:val="0"/>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p>
  </w:endnote>
  <w:endnote w:type="continuationSeparator" w:id="1">
    <w:p>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panose1 w:val="02010609060101010101"/>
    <w:charset w:val="86"/>
    <w:family w:val="auto"/>
    <w:pitch w:val="default"/>
    <w:sig w:usb0="800002BF" w:usb1="38CF7CFA" w:usb2="00000016" w:usb3="00000000" w:csb0="00040001"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Nimbus Roman No9 L">
    <w:panose1 w:val="00000000000000000000"/>
    <w:charset w:val="00"/>
    <w:family w:val="auto"/>
    <w:pitch w:val="default"/>
    <w:sig w:usb0="00000000" w:usb1="00000000" w:usb2="00000000" w:usb3="00000000" w:csb0="00000000" w:csb1="00000000"/>
  </w:font>
  <w:font w:name="方正宋体S-超大字符集">
    <w:panose1 w:val="02000000000000000000"/>
    <w:charset w:val="86"/>
    <w:family w:val="auto"/>
    <w:pitch w:val="default"/>
    <w:sig w:usb0="00000001" w:usb1="08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6148705</wp:posOffset>
              </wp:positionH>
              <wp:positionV relativeFrom="page">
                <wp:posOffset>9719945</wp:posOffset>
              </wp:positionV>
              <wp:extent cx="435610" cy="118745"/>
              <wp:effectExtent l="0" t="0" r="0" b="0"/>
              <wp:wrapNone/>
              <wp:docPr id="13" name="Shape 13"/>
              <wp:cNvGraphicFramePr/>
              <a:graphic xmlns:a="http://schemas.openxmlformats.org/drawingml/2006/main">
                <a:graphicData uri="http://schemas.microsoft.com/office/word/2010/wordprocessingShape">
                  <wps:wsp>
                    <wps:cNvSpPr txBox="true"/>
                    <wps:spPr>
                      <a:xfrm>
                        <a:off x="0" y="0"/>
                        <a:ext cx="435610" cy="118745"/>
                      </a:xfrm>
                      <a:prstGeom prst="rect">
                        <a:avLst/>
                      </a:prstGeom>
                      <a:noFill/>
                    </wps:spPr>
                    <wps:txbx>
                      <w:txbxContent>
                        <w:p>
                          <w:pPr>
                            <w:pStyle w:val="14"/>
                            <w:keepNext w:val="0"/>
                            <w:keepLines w:val="0"/>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w:t>
                          </w:r>
                          <w:r>
                            <w:fldChar w:fldCharType="begin"/>
                          </w:r>
                          <w:r>
                            <w:instrText xml:space="preserve"> PAGE \* MERGEFORMAT </w:instrText>
                          </w:r>
                          <w:r>
                            <w:fldChar w:fldCharType="separate"/>
                          </w:r>
                          <w:r>
                            <w:rPr>
                              <w:color w:val="000000"/>
                              <w:spacing w:val="0"/>
                              <w:w w:val="100"/>
                              <w:position w:val="0"/>
                            </w:rPr>
                            <w:t>#</w:t>
                          </w:r>
                          <w:r>
                            <w:rPr>
                              <w:color w:val="000000"/>
                              <w:spacing w:val="0"/>
                              <w:w w:val="100"/>
                              <w:position w:val="0"/>
                            </w:rPr>
                            <w:fldChar w:fldCharType="end"/>
                          </w:r>
                          <w:r>
                            <w:rPr>
                              <w:color w:val="000000"/>
                              <w:spacing w:val="0"/>
                              <w:w w:val="100"/>
                              <w:position w:val="0"/>
                            </w:rPr>
                            <w:t xml:space="preserve"> -</w:t>
                          </w:r>
                        </w:p>
                      </w:txbxContent>
                    </wps:txbx>
                    <wps:bodyPr wrap="none" lIns="0" tIns="0" rIns="0" bIns="0">
                      <a:spAutoFit/>
                    </wps:bodyPr>
                  </wps:wsp>
                </a:graphicData>
              </a:graphic>
            </wp:anchor>
          </w:drawing>
        </mc:Choice>
        <mc:Fallback>
          <w:pict>
            <v:shape id="Shape 13" o:spid="_x0000_s1026" o:spt="202" type="#_x0000_t202" style="position:absolute;left:0pt;margin-left:484.15pt;margin-top:765.35pt;height:9.35pt;width:34.3pt;mso-position-horizontal-relative:page;mso-position-vertical-relative:page;mso-wrap-style:none;z-index:-251657216;mso-width-relative:page;mso-height-relative:page;" filled="f" stroked="f" coordsize="21600,21600" o:gfxdata="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FgAAAGRycy9QSwECFAAUAAAACACHTuJADejQ7dkAAAAO&#10;AQAADwAAAAAAAAABACAAAAA4AAAAZHJzL2Rvd25yZXYueG1sUEsBAhQAFAAAAAgAh07iQDDZXrWT&#10;AQAAJgMAAA4AAAAAAAAAAQAgAAAAPgEAAGRycy9lMm9Eb2MueG1sUEsFBgAAAAAGAAYAWQEAAEMF&#10;AAAAAA==&#10;">
              <v:fill on="f" focussize="0,0"/>
              <v:stroke on="f"/>
              <v:imagedata o:title=""/>
              <o:lock v:ext="edit" aspectratio="f"/>
              <v:textbox inset="0mm,0mm,0mm,0mm" style="mso-fit-shape-to-text:t;">
                <w:txbxContent>
                  <w:p>
                    <w:pPr>
                      <w:pStyle w:val="14"/>
                      <w:keepNext w:val="0"/>
                      <w:keepLines w:val="0"/>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w:t>
                    </w:r>
                    <w:r>
                      <w:fldChar w:fldCharType="begin"/>
                    </w:r>
                    <w:r>
                      <w:instrText xml:space="preserve"> PAGE \* MERGEFORMAT </w:instrText>
                    </w:r>
                    <w:r>
                      <w:fldChar w:fldCharType="separate"/>
                    </w:r>
                    <w:r>
                      <w:rPr>
                        <w:color w:val="000000"/>
                        <w:spacing w:val="0"/>
                        <w:w w:val="100"/>
                        <w:position w:val="0"/>
                      </w:rPr>
                      <w:t>#</w:t>
                    </w:r>
                    <w:r>
                      <w:rPr>
                        <w:color w:val="000000"/>
                        <w:spacing w:val="0"/>
                        <w:w w:val="100"/>
                        <w:position w:val="0"/>
                      </w:rPr>
                      <w:fldChar w:fldCharType="end"/>
                    </w:r>
                    <w:r>
                      <w:rPr>
                        <w:color w:val="000000"/>
                        <w:spacing w:val="0"/>
                        <w:w w:val="100"/>
                        <w:position w:val="0"/>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pacing w:line="1" w:lineRule="exact"/>
    </w:pPr>
    <w:r>
      <mc:AlternateContent>
        <mc:Choice Requires="wps">
          <w:drawing>
            <wp:anchor distT="0" distB="0" distL="0" distR="0" simplePos="0" relativeHeight="251659264" behindDoc="1" locked="0" layoutInCell="1" allowOverlap="1">
              <wp:simplePos x="0" y="0"/>
              <wp:positionH relativeFrom="page">
                <wp:posOffset>985520</wp:posOffset>
              </wp:positionH>
              <wp:positionV relativeFrom="page">
                <wp:posOffset>9719945</wp:posOffset>
              </wp:positionV>
              <wp:extent cx="433070" cy="118745"/>
              <wp:effectExtent l="0" t="0" r="0" b="0"/>
              <wp:wrapNone/>
              <wp:docPr id="15" name="Shape 15"/>
              <wp:cNvGraphicFramePr/>
              <a:graphic xmlns:a="http://schemas.openxmlformats.org/drawingml/2006/main">
                <a:graphicData uri="http://schemas.microsoft.com/office/word/2010/wordprocessingShape">
                  <wps:wsp>
                    <wps:cNvSpPr txBox="true"/>
                    <wps:spPr>
                      <a:xfrm>
                        <a:off x="0" y="0"/>
                        <a:ext cx="433070" cy="118745"/>
                      </a:xfrm>
                      <a:prstGeom prst="rect">
                        <a:avLst/>
                      </a:prstGeom>
                      <a:noFill/>
                    </wps:spPr>
                    <wps:txbx>
                      <w:txbxContent>
                        <w:p>
                          <w:pPr>
                            <w:pStyle w:val="14"/>
                            <w:keepNext w:val="0"/>
                            <w:keepLines w:val="0"/>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w:t>
                          </w:r>
                          <w:r>
                            <w:fldChar w:fldCharType="begin"/>
                          </w:r>
                          <w:r>
                            <w:instrText xml:space="preserve"> PAGE \* MERGEFORMAT </w:instrText>
                          </w:r>
                          <w:r>
                            <w:fldChar w:fldCharType="separate"/>
                          </w:r>
                          <w:r>
                            <w:rPr>
                              <w:color w:val="000000"/>
                              <w:spacing w:val="0"/>
                              <w:w w:val="100"/>
                              <w:position w:val="0"/>
                            </w:rPr>
                            <w:t>#</w:t>
                          </w:r>
                          <w:r>
                            <w:rPr>
                              <w:color w:val="000000"/>
                              <w:spacing w:val="0"/>
                              <w:w w:val="100"/>
                              <w:position w:val="0"/>
                            </w:rPr>
                            <w:fldChar w:fldCharType="end"/>
                          </w:r>
                          <w:r>
                            <w:rPr>
                              <w:color w:val="000000"/>
                              <w:spacing w:val="0"/>
                              <w:w w:val="100"/>
                              <w:position w:val="0"/>
                            </w:rPr>
                            <w:t xml:space="preserve"> -</w:t>
                          </w:r>
                        </w:p>
                      </w:txbxContent>
                    </wps:txbx>
                    <wps:bodyPr wrap="none" lIns="0" tIns="0" rIns="0" bIns="0">
                      <a:spAutoFit/>
                    </wps:bodyPr>
                  </wps:wsp>
                </a:graphicData>
              </a:graphic>
            </wp:anchor>
          </w:drawing>
        </mc:Choice>
        <mc:Fallback>
          <w:pict>
            <v:shape id="Shape 15" o:spid="_x0000_s1026" o:spt="202" type="#_x0000_t202" style="position:absolute;left:0pt;margin-left:77.6pt;margin-top:765.35pt;height:9.35pt;width:34.1pt;mso-position-horizontal-relative:page;mso-position-vertical-relative:page;mso-wrap-style:none;z-index:-251657216;mso-width-relative:page;mso-height-relative:page;" filled="f" stroked="f" coordsize="21600,21600" o:gfxdata="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FgAAAGRycy9QSwECFAAUAAAACACHTuJABWkb2tgAAAAN&#10;AQAADwAAAAAAAAABACAAAAA4AAAAZHJzL2Rvd25yZXYueG1sUEsBAhQAFAAAAAgAh07iQGEI+zuU&#10;AQAAJgMAAA4AAAAAAAAAAQAgAAAAPQEAAGRycy9lMm9Eb2MueG1sUEsFBgAAAAAGAAYAWQEAAEMF&#10;AAAAAA==&#10;">
              <v:fill on="f" focussize="0,0"/>
              <v:stroke on="f"/>
              <v:imagedata o:title=""/>
              <o:lock v:ext="edit" aspectratio="f"/>
              <v:textbox inset="0mm,0mm,0mm,0mm" style="mso-fit-shape-to-text:t;">
                <w:txbxContent>
                  <w:p>
                    <w:pPr>
                      <w:pStyle w:val="14"/>
                      <w:keepNext w:val="0"/>
                      <w:keepLines w:val="0"/>
                      <w:widowControl w:val="0"/>
                      <w:shd w:val="clear" w:color="auto" w:fill="auto"/>
                      <w:bidi w:val="0"/>
                      <w:spacing w:before="0" w:after="0" w:line="240" w:lineRule="auto"/>
                      <w:ind w:left="0" w:right="0" w:firstLine="0"/>
                      <w:jc w:val="left"/>
                    </w:pPr>
                    <w:r>
                      <w:rPr>
                        <w:color w:val="000000"/>
                        <w:spacing w:val="0"/>
                        <w:w w:val="100"/>
                        <w:position w:val="0"/>
                        <w:lang w:val="en-US" w:eastAsia="en-US" w:bidi="en-US"/>
                      </w:rPr>
                      <w:t>-</w:t>
                    </w:r>
                    <w:r>
                      <w:fldChar w:fldCharType="begin"/>
                    </w:r>
                    <w:r>
                      <w:instrText xml:space="preserve"> PAGE \* MERGEFORMAT </w:instrText>
                    </w:r>
                    <w:r>
                      <w:fldChar w:fldCharType="separate"/>
                    </w:r>
                    <w:r>
                      <w:rPr>
                        <w:color w:val="000000"/>
                        <w:spacing w:val="0"/>
                        <w:w w:val="100"/>
                        <w:position w:val="0"/>
                      </w:rPr>
                      <w:t>#</w:t>
                    </w:r>
                    <w:r>
                      <w:rPr>
                        <w:color w:val="000000"/>
                        <w:spacing w:val="0"/>
                        <w:w w:val="100"/>
                        <w:position w:val="0"/>
                      </w:rPr>
                      <w:fldChar w:fldCharType="end"/>
                    </w:r>
                    <w:r>
                      <w:rPr>
                        <w:color w:val="000000"/>
                        <w:spacing w:val="0"/>
                        <w:w w:val="100"/>
                        <w:position w:val="0"/>
                      </w:rPr>
                      <w:t xml:space="preserve"> -</w:t>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p>
  </w:footnote>
  <w:footnote w:type="continuationSeparator" w:id="1">
    <w:p>
      <w:pPr>
        <w:spacing w:line="240" w:lineRule="auto"/>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53208E"/>
    <w:multiLevelType w:val="singleLevel"/>
    <w:tmpl w:val="0053208E"/>
    <w:lvl w:ilvl="0" w:tentative="0">
      <w:start w:val="1"/>
      <w:numFmt w:val="decimal"/>
      <w:lvlText w:val="%1."/>
      <w:lvlJc w:val="left"/>
      <w:rPr>
        <w:rFonts w:ascii="宋体" w:hAnsi="宋体" w:eastAsia="宋体" w:cs="宋体"/>
        <w:b w:val="0"/>
        <w:bCs w:val="0"/>
        <w:i w:val="0"/>
        <w:iCs w:val="0"/>
        <w:smallCaps w:val="0"/>
        <w:strike w:val="0"/>
        <w:color w:val="000000"/>
        <w:spacing w:val="0"/>
        <w:w w:val="100"/>
        <w:position w:val="0"/>
        <w:sz w:val="30"/>
        <w:szCs w:val="30"/>
        <w:u w:val="none"/>
        <w:shd w:val="clear" w:color="auto" w:fill="auto"/>
        <w:lang w:val="zh-TW" w:eastAsia="zh-TW" w:bidi="zh-TW"/>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cumentProtection w:enforcement="0"/>
  <w:evenAndOddHeaders w:val="true"/>
  <w:drawingGridHorizontalSpacing w:val="181"/>
  <w:drawingGridVerticalSpacing w:val="181"/>
  <w:displayHorizontalDrawingGridEvery w:val="1"/>
  <w:displayVerticalDrawingGridEvery w:val="1"/>
  <w:characterSpacingControl w:val="compressPunctuation"/>
  <w:footnotePr>
    <w:footnote w:id="0"/>
    <w:footnote w:id="1"/>
  </w:footnotePr>
  <w:endnotePr>
    <w:endnote w:id="0"/>
    <w:endnote w:id="1"/>
  </w:endnotePr>
  <w:compat>
    <w:doNotExpandShiftReturn/>
    <w:useFELayout/>
    <w:compatSetting w:name="compatibilityMode" w:uri="http://schemas.microsoft.com/office/word" w:val="15"/>
  </w:compat>
  <w:rsids>
    <w:rsidRoot w:val="00000000"/>
    <w:rsid w:val="07E22BFD"/>
    <w:rsid w:val="13DFB55B"/>
    <w:rsid w:val="14D56615"/>
    <w:rsid w:val="15FD35DC"/>
    <w:rsid w:val="1A3F1BA4"/>
    <w:rsid w:val="1AFBD473"/>
    <w:rsid w:val="1BB87129"/>
    <w:rsid w:val="24D30DF5"/>
    <w:rsid w:val="27FB2612"/>
    <w:rsid w:val="27FDF074"/>
    <w:rsid w:val="2FBB5E11"/>
    <w:rsid w:val="3CFABC69"/>
    <w:rsid w:val="5E70B99E"/>
    <w:rsid w:val="5F577BC5"/>
    <w:rsid w:val="5FBFBB26"/>
    <w:rsid w:val="5FFFA924"/>
    <w:rsid w:val="69FF3DE0"/>
    <w:rsid w:val="6A17DD73"/>
    <w:rsid w:val="6AEDF5AB"/>
    <w:rsid w:val="6AFFFD9F"/>
    <w:rsid w:val="6D7F48FB"/>
    <w:rsid w:val="6DE9C94B"/>
    <w:rsid w:val="6E3D8DAE"/>
    <w:rsid w:val="6EDBC698"/>
    <w:rsid w:val="6F7F4478"/>
    <w:rsid w:val="6FA7B366"/>
    <w:rsid w:val="6FAFE475"/>
    <w:rsid w:val="6FFEB2C4"/>
    <w:rsid w:val="6FFEB9D7"/>
    <w:rsid w:val="6FFFCF89"/>
    <w:rsid w:val="76BDC85E"/>
    <w:rsid w:val="76BF2CCC"/>
    <w:rsid w:val="77BB7F16"/>
    <w:rsid w:val="79ED1EC4"/>
    <w:rsid w:val="7DBF7F8E"/>
    <w:rsid w:val="7DEFCBAE"/>
    <w:rsid w:val="7DF93384"/>
    <w:rsid w:val="7DFB983F"/>
    <w:rsid w:val="7EF7D1A7"/>
    <w:rsid w:val="7F931F2E"/>
    <w:rsid w:val="7FBB68C8"/>
    <w:rsid w:val="7FBE5A9C"/>
    <w:rsid w:val="7FDFA58B"/>
    <w:rsid w:val="7FEB37B1"/>
    <w:rsid w:val="7FEF507B"/>
    <w:rsid w:val="7FFDA442"/>
    <w:rsid w:val="89F73A83"/>
    <w:rsid w:val="ADDEAF57"/>
    <w:rsid w:val="AF3B3032"/>
    <w:rsid w:val="AF4F77CB"/>
    <w:rsid w:val="B183CE28"/>
    <w:rsid w:val="B3B1E455"/>
    <w:rsid w:val="B56E025E"/>
    <w:rsid w:val="BC8DF0B2"/>
    <w:rsid w:val="BDEDB302"/>
    <w:rsid w:val="BFF958D3"/>
    <w:rsid w:val="BFFB8CD4"/>
    <w:rsid w:val="BFFDF663"/>
    <w:rsid w:val="D69A0A96"/>
    <w:rsid w:val="DD576D6A"/>
    <w:rsid w:val="DD7927BA"/>
    <w:rsid w:val="DFFDAFF4"/>
    <w:rsid w:val="DFFF5CA0"/>
    <w:rsid w:val="DFFF8087"/>
    <w:rsid w:val="DFFFD54B"/>
    <w:rsid w:val="EFBDC5AD"/>
    <w:rsid w:val="F0FFAC25"/>
    <w:rsid w:val="F5FB4982"/>
    <w:rsid w:val="F64784A6"/>
    <w:rsid w:val="F69A55A7"/>
    <w:rsid w:val="F7159869"/>
    <w:rsid w:val="F77B7A94"/>
    <w:rsid w:val="FAFF6CC0"/>
    <w:rsid w:val="FBB346BA"/>
    <w:rsid w:val="FBFC95F9"/>
    <w:rsid w:val="FBFD08C3"/>
    <w:rsid w:val="FDFCCAB8"/>
    <w:rsid w:val="FED3133F"/>
    <w:rsid w:val="FF6721AC"/>
    <w:rsid w:val="FFDAE853"/>
    <w:rsid w:val="FFDF6525"/>
    <w:rsid w:val="FFFA7DCB"/>
    <w:rsid w:val="FFFAEB8C"/>
    <w:rsid w:val="FFFB5252"/>
    <w:rsid w:val="FFFFC46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Times New Roman"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keepNext w:val="0"/>
      <w:keepLines w:val="0"/>
      <w:widowControl w:val="0"/>
      <w:shd w:val="clear" w:color="auto" w:fill="auto"/>
      <w:bidi w:val="0"/>
      <w:spacing w:before="0" w:after="0" w:line="240" w:lineRule="auto"/>
      <w:ind w:left="0" w:right="0" w:firstLine="0"/>
      <w:jc w:val="left"/>
    </w:pPr>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paragraph" w:styleId="3">
    <w:name w:val="heading 4"/>
    <w:basedOn w:val="1"/>
    <w:next w:val="1"/>
    <w:unhideWhenUsed/>
    <w:qFormat/>
    <w:uiPriority w:val="0"/>
    <w:pPr>
      <w:keepNext/>
      <w:keepLines/>
      <w:spacing w:before="280" w:beforeLines="0" w:beforeAutospacing="0" w:after="290" w:afterLines="0" w:afterAutospacing="0" w:line="372" w:lineRule="auto"/>
      <w:outlineLvl w:val="3"/>
    </w:pPr>
    <w:rPr>
      <w:rFonts w:ascii="Arial" w:hAnsi="Arial" w:eastAsia="黑体"/>
      <w:b/>
      <w:sz w:val="28"/>
    </w:rPr>
  </w:style>
  <w:style w:type="character" w:default="1" w:styleId="6">
    <w:name w:val="Default Paragraph Font"/>
    <w:qFormat/>
    <w:uiPriority w:val="0"/>
    <w:rPr>
      <w:rFonts w:ascii="Times New Roman" w:hAnsi="Times New Roman" w:eastAsia="Times New Roman" w:cs="Times New Roman"/>
      <w:color w:val="000000"/>
      <w:spacing w:val="0"/>
      <w:w w:val="100"/>
      <w:position w:val="0"/>
      <w:sz w:val="24"/>
      <w:szCs w:val="24"/>
      <w:shd w:val="clear" w:color="auto" w:fill="auto"/>
      <w:lang w:val="en-US" w:eastAsia="en-US" w:bidi="en-US"/>
    </w:rPr>
  </w:style>
  <w:style w:type="table" w:default="1" w:styleId="5">
    <w:name w:val="Normal Table"/>
    <w:semiHidden/>
    <w:qFormat/>
    <w:uiPriority w:val="0"/>
    <w:tblPr>
      <w:tblCellMar>
        <w:top w:w="0" w:type="dxa"/>
        <w:left w:w="108" w:type="dxa"/>
        <w:bottom w:w="0" w:type="dxa"/>
        <w:right w:w="108" w:type="dxa"/>
      </w:tblCellMar>
    </w:tblPr>
  </w:style>
  <w:style w:type="paragraph" w:styleId="2">
    <w:name w:val="Plain Text"/>
    <w:basedOn w:val="1"/>
    <w:next w:val="1"/>
    <w:qFormat/>
    <w:uiPriority w:val="0"/>
    <w:rPr>
      <w:rFonts w:ascii="宋体" w:hAnsi="Courier New"/>
      <w:szCs w:val="20"/>
    </w:rPr>
  </w:style>
  <w:style w:type="paragraph" w:styleId="4">
    <w:name w:val="Normal (Web)"/>
    <w:basedOn w:val="1"/>
    <w:qFormat/>
    <w:uiPriority w:val="0"/>
    <w:pPr>
      <w:spacing w:before="100" w:beforeAutospacing="1" w:after="100" w:afterAutospacing="1"/>
      <w:ind w:left="0" w:right="0"/>
      <w:jc w:val="left"/>
    </w:pPr>
    <w:rPr>
      <w:kern w:val="0"/>
      <w:sz w:val="24"/>
      <w:lang w:val="en-US" w:eastAsia="zh-CN" w:bidi="ar"/>
    </w:rPr>
  </w:style>
  <w:style w:type="character" w:customStyle="1" w:styleId="7">
    <w:name w:val="Heading #1|1_"/>
    <w:basedOn w:val="6"/>
    <w:link w:val="8"/>
    <w:qFormat/>
    <w:uiPriority w:val="0"/>
    <w:rPr>
      <w:rFonts w:ascii="宋体" w:hAnsi="宋体" w:eastAsia="宋体" w:cs="宋体"/>
      <w:sz w:val="44"/>
      <w:szCs w:val="44"/>
      <w:u w:val="none"/>
      <w:shd w:val="clear" w:color="auto" w:fill="auto"/>
      <w:lang w:val="zh-TW" w:eastAsia="zh-TW" w:bidi="zh-TW"/>
    </w:rPr>
  </w:style>
  <w:style w:type="paragraph" w:customStyle="1" w:styleId="8">
    <w:name w:val="Heading #1|1"/>
    <w:basedOn w:val="1"/>
    <w:link w:val="7"/>
    <w:qFormat/>
    <w:uiPriority w:val="0"/>
    <w:pPr>
      <w:widowControl w:val="0"/>
      <w:shd w:val="clear" w:color="auto" w:fill="auto"/>
      <w:spacing w:after="500" w:line="254" w:lineRule="auto"/>
      <w:jc w:val="center"/>
      <w:outlineLvl w:val="0"/>
    </w:pPr>
    <w:rPr>
      <w:rFonts w:ascii="宋体" w:hAnsi="宋体" w:eastAsia="宋体" w:cs="宋体"/>
      <w:sz w:val="44"/>
      <w:szCs w:val="44"/>
      <w:u w:val="none"/>
      <w:shd w:val="clear" w:color="auto" w:fill="auto"/>
      <w:lang w:val="zh-TW" w:eastAsia="zh-TW" w:bidi="zh-TW"/>
    </w:rPr>
  </w:style>
  <w:style w:type="character" w:customStyle="1" w:styleId="9">
    <w:name w:val="Body text|1_"/>
    <w:basedOn w:val="6"/>
    <w:link w:val="10"/>
    <w:qFormat/>
    <w:uiPriority w:val="0"/>
    <w:rPr>
      <w:rFonts w:ascii="宋体" w:hAnsi="宋体" w:eastAsia="宋体" w:cs="宋体"/>
      <w:sz w:val="30"/>
      <w:szCs w:val="30"/>
      <w:u w:val="none"/>
      <w:shd w:val="clear" w:color="auto" w:fill="auto"/>
      <w:lang w:val="zh-TW" w:eastAsia="zh-TW" w:bidi="zh-TW"/>
    </w:rPr>
  </w:style>
  <w:style w:type="paragraph" w:customStyle="1" w:styleId="10">
    <w:name w:val="Body text|1"/>
    <w:basedOn w:val="1"/>
    <w:link w:val="9"/>
    <w:qFormat/>
    <w:uiPriority w:val="0"/>
    <w:pPr>
      <w:widowControl w:val="0"/>
      <w:shd w:val="clear" w:color="auto" w:fill="auto"/>
      <w:spacing w:line="394" w:lineRule="auto"/>
      <w:ind w:firstLine="400"/>
    </w:pPr>
    <w:rPr>
      <w:rFonts w:ascii="宋体" w:hAnsi="宋体" w:eastAsia="宋体" w:cs="宋体"/>
      <w:sz w:val="30"/>
      <w:szCs w:val="30"/>
      <w:u w:val="none"/>
      <w:shd w:val="clear" w:color="auto" w:fill="auto"/>
      <w:lang w:val="zh-TW" w:eastAsia="zh-TW" w:bidi="zh-TW"/>
    </w:rPr>
  </w:style>
  <w:style w:type="character" w:customStyle="1" w:styleId="11">
    <w:name w:val="Header or footer|2_"/>
    <w:basedOn w:val="6"/>
    <w:link w:val="12"/>
    <w:qFormat/>
    <w:uiPriority w:val="0"/>
    <w:rPr>
      <w:sz w:val="20"/>
      <w:szCs w:val="20"/>
      <w:u w:val="none"/>
      <w:shd w:val="clear" w:color="auto" w:fill="auto"/>
      <w:lang w:val="zh-TW" w:eastAsia="zh-TW" w:bidi="zh-TW"/>
    </w:rPr>
  </w:style>
  <w:style w:type="paragraph" w:customStyle="1" w:styleId="12">
    <w:name w:val="Header or footer|2"/>
    <w:basedOn w:val="1"/>
    <w:link w:val="11"/>
    <w:qFormat/>
    <w:uiPriority w:val="0"/>
    <w:pPr>
      <w:widowControl w:val="0"/>
      <w:shd w:val="clear" w:color="auto" w:fill="auto"/>
    </w:pPr>
    <w:rPr>
      <w:sz w:val="20"/>
      <w:szCs w:val="20"/>
      <w:u w:val="none"/>
      <w:shd w:val="clear" w:color="auto" w:fill="auto"/>
      <w:lang w:val="zh-TW" w:eastAsia="zh-TW" w:bidi="zh-TW"/>
    </w:rPr>
  </w:style>
  <w:style w:type="character" w:customStyle="1" w:styleId="13">
    <w:name w:val="Header or footer|1_"/>
    <w:basedOn w:val="6"/>
    <w:link w:val="14"/>
    <w:qFormat/>
    <w:uiPriority w:val="0"/>
    <w:rPr>
      <w:rFonts w:ascii="宋体" w:hAnsi="宋体" w:eastAsia="宋体" w:cs="宋体"/>
      <w:sz w:val="28"/>
      <w:szCs w:val="28"/>
      <w:u w:val="none"/>
      <w:shd w:val="clear" w:color="auto" w:fill="auto"/>
      <w:lang w:val="zh-TW" w:eastAsia="zh-TW" w:bidi="zh-TW"/>
    </w:rPr>
  </w:style>
  <w:style w:type="paragraph" w:customStyle="1" w:styleId="14">
    <w:name w:val="Header or footer|1"/>
    <w:basedOn w:val="1"/>
    <w:link w:val="13"/>
    <w:qFormat/>
    <w:uiPriority w:val="0"/>
    <w:pPr>
      <w:widowControl w:val="0"/>
      <w:shd w:val="clear" w:color="auto" w:fill="auto"/>
    </w:pPr>
    <w:rPr>
      <w:rFonts w:ascii="宋体" w:hAnsi="宋体" w:eastAsia="宋体" w:cs="宋体"/>
      <w:sz w:val="28"/>
      <w:szCs w:val="28"/>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otalTime>35</TotalTime>
  <ScaleCrop>false</ScaleCrop>
  <LinksUpToDate>false</LinksUpToDate>
  <Application>WPS Office_11.8.2.9980_F1E327BC-269C-435d-A152-05C5408002CA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2021-12-25T01:31:00Z</dcterms:created>
  <dc:creator>User</dc:creator>
  <cp:lastModifiedBy>test</cp:lastModifiedBy>
  <dcterms:modified xsi:type="dcterms:W3CDTF">2022-01-18T15:47:57Z</dcterms:modified>
  <dc:title>余干县人民政府办公室</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2052-11.8.2.9980</vt:lpwstr>
  </property>
  <property fmtid="{D5CDD505-2E9C-101B-9397-08002B2CF9AE}" pid="3" name="ICV">
    <vt:lpwstr>8FEA8123544746EC9D062A18D75ABE90</vt:lpwstr>
  </property>
</Properties>
</file>