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b/>
          <w:bCs w:val="0"/>
          <w:sz w:val="44"/>
          <w:szCs w:val="44"/>
          <w:lang w:val="en-US" w:eastAsia="zh-CN"/>
        </w:rPr>
      </w:pPr>
      <w:r>
        <w:rPr>
          <w:rFonts w:hint="eastAsia" w:ascii="方正小标宋简体" w:hAnsi="方正小标宋简体" w:eastAsia="方正小标宋简体" w:cs="方正小标宋简体"/>
          <w:b/>
          <w:bCs w:val="0"/>
          <w:sz w:val="44"/>
          <w:szCs w:val="44"/>
          <w:lang w:eastAsia="zh-CN"/>
        </w:rPr>
        <w:t>二〇二一年</w:t>
      </w:r>
      <w:r>
        <w:rPr>
          <w:rFonts w:hint="eastAsia" w:ascii="方正小标宋简体" w:hAnsi="方正小标宋简体" w:eastAsia="方正小标宋简体" w:cs="方正小标宋简体"/>
          <w:b/>
          <w:bCs w:val="0"/>
          <w:sz w:val="44"/>
          <w:szCs w:val="44"/>
        </w:rPr>
        <w:t>一般公共预算收入</w:t>
      </w:r>
      <w:r>
        <w:rPr>
          <w:rFonts w:hint="eastAsia" w:ascii="方正小标宋简体" w:hAnsi="方正小标宋简体" w:eastAsia="方正小标宋简体" w:cs="方正小标宋简体"/>
          <w:b/>
          <w:bCs w:val="0"/>
          <w:sz w:val="44"/>
          <w:szCs w:val="44"/>
          <w:lang w:val="en-US" w:eastAsia="zh-CN"/>
        </w:rPr>
        <w:t>安排</w:t>
      </w:r>
    </w:p>
    <w:p>
      <w:pPr>
        <w:spacing w:line="700" w:lineRule="exact"/>
        <w:jc w:val="center"/>
        <w:rPr>
          <w:rFonts w:hint="eastAsia" w:ascii="方正小标宋简体" w:hAnsi="方正小标宋简体" w:eastAsia="方正小标宋简体" w:cs="方正小标宋简体"/>
          <w:b/>
          <w:bCs w:val="0"/>
          <w:sz w:val="44"/>
          <w:szCs w:val="44"/>
        </w:rPr>
      </w:pPr>
      <w:r>
        <w:rPr>
          <w:rFonts w:hint="eastAsia" w:ascii="方正小标宋简体" w:hAnsi="方正小标宋简体" w:eastAsia="方正小标宋简体" w:cs="方正小标宋简体"/>
          <w:b/>
          <w:bCs w:val="0"/>
          <w:sz w:val="44"/>
          <w:szCs w:val="44"/>
        </w:rPr>
        <w:t>情况表</w:t>
      </w:r>
      <w:r>
        <w:rPr>
          <w:rFonts w:hint="eastAsia" w:ascii="方正小标宋简体" w:hAnsi="方正小标宋简体" w:eastAsia="方正小标宋简体" w:cs="方正小标宋简体"/>
          <w:b/>
          <w:bCs w:val="0"/>
          <w:sz w:val="44"/>
          <w:szCs w:val="44"/>
          <w:lang w:eastAsia="zh-CN"/>
        </w:rPr>
        <w:t>（</w:t>
      </w:r>
      <w:r>
        <w:rPr>
          <w:rFonts w:hint="eastAsia" w:ascii="方正小标宋简体" w:hAnsi="方正小标宋简体" w:eastAsia="方正小标宋简体" w:cs="方正小标宋简体"/>
          <w:b/>
          <w:bCs w:val="0"/>
          <w:sz w:val="44"/>
          <w:szCs w:val="44"/>
          <w:lang w:val="en-US" w:eastAsia="zh-CN"/>
        </w:rPr>
        <w:t>草案</w:t>
      </w:r>
      <w:r>
        <w:rPr>
          <w:rFonts w:hint="eastAsia" w:ascii="方正小标宋简体" w:hAnsi="方正小标宋简体" w:eastAsia="方正小标宋简体" w:cs="方正小标宋简体"/>
          <w:b/>
          <w:bCs w:val="0"/>
          <w:sz w:val="44"/>
          <w:szCs w:val="44"/>
          <w:lang w:eastAsia="zh-CN"/>
        </w:rPr>
        <w:t>）</w:t>
      </w:r>
      <w:r>
        <w:rPr>
          <w:rFonts w:hint="eastAsia" w:ascii="方正小标宋简体" w:hAnsi="方正小标宋简体" w:eastAsia="方正小标宋简体" w:cs="方正小标宋简体"/>
          <w:b/>
          <w:bCs w:val="0"/>
          <w:sz w:val="44"/>
          <w:szCs w:val="44"/>
        </w:rPr>
        <w:t>说明</w:t>
      </w:r>
    </w:p>
    <w:p/>
    <w:p/>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根据省委、省政府“省与市县政府财政收入划分体制改革</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精神,从2020年起，将增值税、企业所得税、个人所得税和环境保护税地方部分省与市县分享比例由目前的1:9和2:8统一调整为3:7，2021年起，一般公共预算收入按照新体制编制。</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根据我县国民经济和社会发展计划，综合考虑上一年预算执行，本年收支预测等情况，20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年一般公共预算收入安排</w:t>
      </w:r>
      <w:r>
        <w:rPr>
          <w:rFonts w:hint="eastAsia" w:ascii="仿宋_GB2312" w:hAnsi="仿宋_GB2312" w:eastAsia="仿宋_GB2312" w:cs="仿宋_GB2312"/>
          <w:sz w:val="32"/>
          <w:szCs w:val="32"/>
          <w:lang w:val="en-US" w:eastAsia="zh-CN"/>
        </w:rPr>
        <w:t>73205</w:t>
      </w:r>
      <w:r>
        <w:rPr>
          <w:rFonts w:hint="eastAsia" w:ascii="仿宋_GB2312" w:hAnsi="仿宋_GB2312" w:eastAsia="仿宋_GB2312" w:cs="仿宋_GB2312"/>
          <w:sz w:val="32"/>
          <w:szCs w:val="32"/>
        </w:rPr>
        <w:t>万元，比20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年执行数</w:t>
      </w:r>
      <w:r>
        <w:rPr>
          <w:rFonts w:hint="eastAsia" w:ascii="仿宋_GB2312" w:hAnsi="仿宋_GB2312" w:eastAsia="仿宋_GB2312" w:cs="仿宋_GB2312"/>
          <w:sz w:val="32"/>
          <w:szCs w:val="32"/>
          <w:lang w:val="en-US" w:eastAsia="zh-CN"/>
        </w:rPr>
        <w:t>下降2.9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按改革前体制口径统计为增长11%。</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地方税收收入58605万元比2020年执行数下降5.3%，减少3256万元，按改革前口径测算增长11.6%，增长7184万元。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非税收入14600万元比2020年执行数增长8.2%。主要是预计2021年罚没收入增长1198万元，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调入资金31800万元，主要是加大政府性基金和国有资本经营预算与一般公共预算的统筹力度，弥补一般公共预算财力不足。</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截至目前，省财政未下达2021年新增一般债券转贷额度。</w:t>
      </w:r>
    </w:p>
    <w:p>
      <w:pPr>
        <w:numPr>
          <w:numId w:val="0"/>
        </w:numPr>
        <w:jc w:val="left"/>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5DC2F9"/>
    <w:multiLevelType w:val="singleLevel"/>
    <w:tmpl w:val="BE5DC2F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A82AB3"/>
    <w:rsid w:val="10421570"/>
    <w:rsid w:val="10D0205C"/>
    <w:rsid w:val="6C1E0F36"/>
    <w:rsid w:val="7FA82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2021-02-28T09:19:00Z</dcterms:created>
  <dc:creator>萍儿</dc:creator>
  <cp:lastModifiedBy>Administrator</cp:lastModifiedBy>
  <cp:lastPrinted>2021-02-28T10:29:00Z</cp:lastPrinted>
  <dcterms:modified xsi:type="dcterms:W3CDTF">2021-03-29T06:39:15Z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