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eastAsia="zh-CN"/>
        </w:rPr>
        <w:t>二〇二〇年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一般公共预算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支出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执行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情况表说明</w:t>
      </w:r>
    </w:p>
    <w:p/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8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一般公共服务支出执行数比上年决算数（下同）下降4.1%，主要是贯彻落实政府“过紧日子”政策，大力压减一般性支出，政策效果显现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8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公共安全支出执行数下降12.5%，主要是公共安全阶段性结构调整。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8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教育支出执行数增长6%，主要是落实教育优先战略，持续增加教育投入。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8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社会保障和就业支出执行数下降17.9%</w:t>
      </w:r>
      <w:r>
        <w:rPr>
          <w:rFonts w:hint="eastAsia" w:ascii="仿宋_GB2312" w:hAnsi="仿宋_GB2312" w:eastAsia="仿宋_GB2312" w:cs="仿宋_GB2312"/>
          <w:sz w:val="32"/>
          <w:szCs w:val="32"/>
        </w:rPr>
        <w:t>，主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要是2020年起企业养老保险转由省级统收统支，不在县级列支造成的政策性减支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8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卫生健康支出执行数和城乡社区支出执行数分别下降13.8%和58.2%，主要是卫生健康收入结构调整，以及城乡公共设施建设大部分转由政府性基金支出。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8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6．农林水支出执行数增长34.5%，主要是推动脱贫攻坚与乡村振兴有效衔接，继续加大对“三农”发展的投入。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8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交通运输支出执行数增长207.6%，主要是新增特殊转移支付资金用于交通项目以及按照项目进度在2020年形成的相应支出。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8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 资源勘探工业信息等支出执行数增长54.7%，主要是受疫情影响，为支持企业复工复产，尽快恢复经济活力，加大了对企业的扶持力度。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8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9. 商业服务业等支出、金融支出、自然资源海洋气象等支出、住房保障支出、灾害防治及应急管理支出执行数增加，</w:t>
      </w:r>
      <w:r>
        <w:rPr>
          <w:rFonts w:hint="eastAsia" w:ascii="仿宋_GB2312" w:hAnsi="仿宋_GB2312" w:eastAsia="仿宋_GB2312" w:cs="仿宋_GB2312"/>
          <w:sz w:val="32"/>
          <w:szCs w:val="32"/>
        </w:rPr>
        <w:t>主要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是中央加大了对企业信贷的金融支持，受极端天气影响，中央增加了灾害防治救治的转移支付，以及住房保障等转移支付增加支出。</w:t>
      </w:r>
      <w:bookmarkStart w:id="0" w:name="_GoBack"/>
      <w:bookmarkEnd w:id="0"/>
    </w:p>
    <w:p>
      <w:pPr>
        <w:ind w:firstLine="648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856DC5"/>
    <w:rsid w:val="24856DC5"/>
    <w:rsid w:val="277E19E2"/>
    <w:rsid w:val="44D76849"/>
    <w:rsid w:val="463D1F76"/>
    <w:rsid w:val="556A5931"/>
    <w:rsid w:val="69BE6C0A"/>
    <w:rsid w:val="77595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2021-02-26T01:53:00Z</dcterms:created>
  <dc:creator>萍儿</dc:creator>
  <cp:lastModifiedBy>Administrator</cp:lastModifiedBy>
  <dcterms:modified xsi:type="dcterms:W3CDTF">2021-03-29T06:36:11Z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