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3AFA1">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横峰县人民政府</w:t>
      </w:r>
    </w:p>
    <w:p w14:paraId="02D18A9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关于横峰县排水排涝内涝点治理工程项目（糯禾垅）拟征收土地补偿安置方案公告</w:t>
      </w:r>
    </w:p>
    <w:p w14:paraId="7F5F7A15">
      <w:pPr>
        <w:pStyle w:val="2"/>
        <w:rPr>
          <w:rFonts w:hint="eastAsia"/>
          <w:lang w:val="en-US" w:eastAsia="zh-CN"/>
        </w:rPr>
      </w:pPr>
    </w:p>
    <w:p w14:paraId="2A8CA6C8">
      <w:pPr>
        <w:pStyle w:val="2"/>
        <w:keepNext w:val="0"/>
        <w:keepLines w:val="0"/>
        <w:pageBreakBefore w:val="0"/>
        <w:widowControl w:val="0"/>
        <w:kinsoku/>
        <w:overflowPunct/>
        <w:topLinePunct w:val="0"/>
        <w:autoSpaceDE/>
        <w:autoSpaceDN/>
        <w:bidi w:val="0"/>
        <w:adjustRightInd/>
        <w:spacing w:line="480" w:lineRule="exact"/>
        <w:textAlignment w:val="auto"/>
        <w:rPr>
          <w:rFonts w:hint="eastAsia"/>
          <w:lang w:val="en-US" w:eastAsia="zh-CN"/>
        </w:rPr>
      </w:pPr>
    </w:p>
    <w:p w14:paraId="02FB26BD">
      <w:pPr>
        <w:keepNext w:val="0"/>
        <w:keepLines w:val="0"/>
        <w:pageBreakBefore w:val="0"/>
        <w:widowControl w:val="0"/>
        <w:kinsoku/>
        <w:wordWrap w:val="0"/>
        <w:overflowPunct/>
        <w:topLinePunct w:val="0"/>
        <w:autoSpaceDE/>
        <w:autoSpaceDN/>
        <w:bidi w:val="0"/>
        <w:adjustRightInd/>
        <w:snapToGrid/>
        <w:spacing w:line="48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中华人民共和国土地管理法》《中华人民共和国土地管理法实施条例》《江西省征收土地管理办法》《江西省人民政府关于公布全省征地区片综合地价的通知》（赣府字〔2023〕23号）《横峰县人民政府关于调整全县征地补偿标准的通知》（横府字〔2023〕23号）《横峰县规范征地管理工作的实施意见》（横府发〔2024〕1号）等规定，依据社会稳定风险评估结果和土地现状调查结果，横峰县人民政府组织相关部门拟订了横峰县排水排涝内涝点治理工程项目（糯禾垅）拟征收土地补偿安置方案。现公告如下:</w:t>
      </w:r>
    </w:p>
    <w:p w14:paraId="19044955">
      <w:pPr>
        <w:keepNext w:val="0"/>
        <w:keepLines w:val="0"/>
        <w:pageBreakBefore w:val="0"/>
        <w:widowControl w:val="0"/>
        <w:kinsoku/>
        <w:wordWrap w:val="0"/>
        <w:overflowPunct/>
        <w:topLinePunct w:val="0"/>
        <w:autoSpaceDE/>
        <w:autoSpaceDN/>
        <w:bidi w:val="0"/>
        <w:adjustRightInd/>
        <w:snapToGrid/>
        <w:spacing w:line="48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一、拟征收范围</w:t>
      </w:r>
      <w:r>
        <w:rPr>
          <w:rFonts w:hint="eastAsia" w:ascii="仿宋" w:hAnsi="仿宋" w:eastAsia="仿宋" w:cs="仿宋"/>
          <w:sz w:val="30"/>
          <w:szCs w:val="30"/>
          <w:lang w:val="en-US" w:eastAsia="zh-CN"/>
        </w:rPr>
        <w:t xml:space="preserve"> </w:t>
      </w:r>
    </w:p>
    <w:p w14:paraId="3B198452">
      <w:pPr>
        <w:keepNext w:val="0"/>
        <w:keepLines w:val="0"/>
        <w:pageBreakBefore w:val="0"/>
        <w:widowControl w:val="0"/>
        <w:kinsoku/>
        <w:wordWrap w:val="0"/>
        <w:overflowPunct/>
        <w:topLinePunct w:val="0"/>
        <w:autoSpaceDE/>
        <w:autoSpaceDN/>
        <w:bidi w:val="0"/>
        <w:adjustRightInd/>
        <w:snapToGrid/>
        <w:spacing w:line="48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本次拟征地四至范围：虹桥东路以北，沪昆线以南，康定小区以东，峰福线以西。经现状调查确认,本次拟征地块土地产权明晰，界址清楚，没有争议。涉及兴安街道城郊村委会糯禾垅组。</w:t>
      </w:r>
    </w:p>
    <w:p w14:paraId="64A38D37">
      <w:pPr>
        <w:keepNext w:val="0"/>
        <w:keepLines w:val="0"/>
        <w:pageBreakBefore w:val="0"/>
        <w:widowControl w:val="0"/>
        <w:kinsoku/>
        <w:wordWrap w:val="0"/>
        <w:overflowPunct/>
        <w:topLinePunct w:val="0"/>
        <w:autoSpaceDE/>
        <w:autoSpaceDN/>
        <w:bidi w:val="0"/>
        <w:adjustRightInd/>
        <w:snapToGrid/>
        <w:spacing w:line="48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二、征收目的</w:t>
      </w:r>
      <w:r>
        <w:rPr>
          <w:rFonts w:hint="eastAsia" w:ascii="仿宋" w:hAnsi="仿宋" w:eastAsia="仿宋" w:cs="仿宋"/>
          <w:sz w:val="30"/>
          <w:szCs w:val="30"/>
          <w:lang w:val="en-US" w:eastAsia="zh-CN"/>
        </w:rPr>
        <w:t xml:space="preserve">  </w:t>
      </w:r>
    </w:p>
    <w:p w14:paraId="1BA9DBAB">
      <w:pPr>
        <w:keepNext w:val="0"/>
        <w:keepLines w:val="0"/>
        <w:pageBreakBefore w:val="0"/>
        <w:widowControl w:val="0"/>
        <w:kinsoku/>
        <w:overflowPunct/>
        <w:topLinePunct w:val="0"/>
        <w:autoSpaceDE/>
        <w:autoSpaceDN/>
        <w:bidi w:val="0"/>
        <w:adjustRightInd/>
        <w:snapToGrid/>
        <w:spacing w:line="48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因公共利益的需要，此次拟征收土地规划用途为能源、交通、水利、通信、邮政等基础设施的建设，拟用于横峰县排水排涝内涝点治理工程项目（糯禾垅）建设。</w:t>
      </w:r>
    </w:p>
    <w:p w14:paraId="049D287B">
      <w:pPr>
        <w:keepNext w:val="0"/>
        <w:keepLines w:val="0"/>
        <w:pageBreakBefore w:val="0"/>
        <w:widowControl w:val="0"/>
        <w:kinsoku/>
        <w:wordWrap w:val="0"/>
        <w:overflowPunct/>
        <w:topLinePunct w:val="0"/>
        <w:autoSpaceDE/>
        <w:autoSpaceDN/>
        <w:bidi w:val="0"/>
        <w:adjustRightInd/>
        <w:snapToGrid/>
        <w:spacing w:line="48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三、土地现状调查结果</w:t>
      </w:r>
      <w:r>
        <w:rPr>
          <w:rFonts w:hint="eastAsia" w:ascii="仿宋" w:hAnsi="仿宋" w:eastAsia="仿宋" w:cs="仿宋"/>
          <w:sz w:val="30"/>
          <w:szCs w:val="30"/>
          <w:lang w:val="en-US" w:eastAsia="zh-CN"/>
        </w:rPr>
        <w:t xml:space="preserve"> </w:t>
      </w:r>
    </w:p>
    <w:p w14:paraId="367F83AE">
      <w:pPr>
        <w:keepNext w:val="0"/>
        <w:keepLines w:val="0"/>
        <w:pageBreakBefore w:val="0"/>
        <w:widowControl w:val="0"/>
        <w:kinsoku/>
        <w:overflowPunct/>
        <w:topLinePunct w:val="0"/>
        <w:autoSpaceDE/>
        <w:autoSpaceDN/>
        <w:bidi w:val="0"/>
        <w:adjustRightInd/>
        <w:snapToGrid/>
        <w:spacing w:line="48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经勘测定界及调查确认，本次拟征地面积2.776亩。其中：兴安街道城郊村委会糯禾垅组水田2.776亩。</w:t>
      </w:r>
    </w:p>
    <w:p w14:paraId="221648EA">
      <w:pPr>
        <w:keepNext w:val="0"/>
        <w:keepLines w:val="0"/>
        <w:pageBreakBefore w:val="0"/>
        <w:widowControl w:val="0"/>
        <w:kinsoku/>
        <w:wordWrap w:val="0"/>
        <w:overflowPunct/>
        <w:topLinePunct w:val="0"/>
        <w:autoSpaceDE/>
        <w:autoSpaceDN/>
        <w:bidi w:val="0"/>
        <w:adjustRightInd/>
        <w:snapToGrid/>
        <w:spacing w:line="48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 xml:space="preserve">四、征地补偿安置及费用支付对象、方式和期限 </w:t>
      </w:r>
    </w:p>
    <w:p w14:paraId="5D12CC07">
      <w:pPr>
        <w:keepNext w:val="0"/>
        <w:keepLines w:val="0"/>
        <w:pageBreakBefore w:val="0"/>
        <w:widowControl w:val="0"/>
        <w:kinsoku/>
        <w:wordWrap w:val="0"/>
        <w:overflowPunct/>
        <w:topLinePunct w:val="0"/>
        <w:autoSpaceDE/>
        <w:autoSpaceDN/>
        <w:bidi w:val="0"/>
        <w:adjustRightInd/>
        <w:snapToGrid/>
        <w:spacing w:line="48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（一）征地补偿安置情况 </w:t>
      </w:r>
    </w:p>
    <w:p w14:paraId="3F5FB2EF">
      <w:pPr>
        <w:keepNext w:val="0"/>
        <w:keepLines w:val="0"/>
        <w:pageBreakBefore w:val="0"/>
        <w:widowControl w:val="0"/>
        <w:kinsoku/>
        <w:wordWrap w:val="0"/>
        <w:overflowPunct/>
        <w:topLinePunct w:val="0"/>
        <w:autoSpaceDE/>
        <w:autoSpaceDN/>
        <w:bidi w:val="0"/>
        <w:adjustRightInd/>
        <w:snapToGrid/>
        <w:spacing w:line="48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1、土地补偿费和安置补助费 </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7"/>
        <w:gridCol w:w="1642"/>
        <w:gridCol w:w="1557"/>
        <w:gridCol w:w="1703"/>
        <w:gridCol w:w="1528"/>
      </w:tblGrid>
      <w:tr w14:paraId="1A467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90" w:type="pct"/>
            <w:noWrap w:val="0"/>
            <w:vAlign w:val="center"/>
          </w:tcPr>
          <w:p w14:paraId="6B9E569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47" w:type="pct"/>
            <w:noWrap w:val="0"/>
            <w:vAlign w:val="center"/>
          </w:tcPr>
          <w:p w14:paraId="7515244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898" w:type="pct"/>
            <w:noWrap w:val="0"/>
            <w:vAlign w:val="center"/>
          </w:tcPr>
          <w:p w14:paraId="6788828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82" w:type="pct"/>
            <w:noWrap w:val="0"/>
            <w:vAlign w:val="center"/>
          </w:tcPr>
          <w:p w14:paraId="5F89ECE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(元/亩)</w:t>
            </w:r>
          </w:p>
        </w:tc>
        <w:tc>
          <w:tcPr>
            <w:tcW w:w="881" w:type="pct"/>
            <w:noWrap w:val="0"/>
            <w:vAlign w:val="center"/>
          </w:tcPr>
          <w:p w14:paraId="7F41FD81">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46758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90" w:type="pct"/>
            <w:shd w:val="clear" w:color="auto" w:fill="auto"/>
            <w:noWrap w:val="0"/>
            <w:vAlign w:val="center"/>
          </w:tcPr>
          <w:p w14:paraId="76A6A38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兴安街道城郊村委会糯禾垅组</w:t>
            </w:r>
          </w:p>
        </w:tc>
        <w:tc>
          <w:tcPr>
            <w:tcW w:w="947" w:type="pct"/>
            <w:shd w:val="clear" w:color="auto" w:fill="auto"/>
            <w:noWrap w:val="0"/>
            <w:vAlign w:val="center"/>
          </w:tcPr>
          <w:p w14:paraId="26E00403">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898" w:type="pct"/>
            <w:shd w:val="clear" w:color="auto" w:fill="auto"/>
            <w:noWrap w:val="0"/>
            <w:vAlign w:val="center"/>
          </w:tcPr>
          <w:p w14:paraId="1FDB9B15">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bidi="ar-SA"/>
              </w:rPr>
              <w:t>2.776</w:t>
            </w:r>
          </w:p>
        </w:tc>
        <w:tc>
          <w:tcPr>
            <w:tcW w:w="982" w:type="pct"/>
            <w:shd w:val="clear" w:color="auto" w:fill="auto"/>
            <w:noWrap w:val="0"/>
            <w:vAlign w:val="center"/>
          </w:tcPr>
          <w:p w14:paraId="47D889EB">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4.6</w:t>
            </w:r>
          </w:p>
        </w:tc>
        <w:tc>
          <w:tcPr>
            <w:tcW w:w="881" w:type="pct"/>
            <w:shd w:val="clear" w:color="auto" w:fill="auto"/>
            <w:noWrap w:val="0"/>
            <w:vAlign w:val="center"/>
          </w:tcPr>
          <w:p w14:paraId="262D0E4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12.770</w:t>
            </w:r>
            <w:r>
              <w:rPr>
                <w:rFonts w:hint="eastAsia" w:ascii="仿宋" w:hAnsi="仿宋" w:eastAsia="仿宋" w:cs="仿宋"/>
                <w:color w:val="000000"/>
                <w:kern w:val="0"/>
                <w:sz w:val="28"/>
                <w:szCs w:val="28"/>
                <w:lang w:val="en-US" w:eastAsia="zh-CN"/>
              </w:rPr>
              <w:fldChar w:fldCharType="end"/>
            </w:r>
          </w:p>
        </w:tc>
      </w:tr>
      <w:tr w14:paraId="44DC9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1B920C60">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898" w:type="pct"/>
            <w:shd w:val="clear" w:color="auto" w:fill="auto"/>
            <w:noWrap w:val="0"/>
            <w:vAlign w:val="center"/>
          </w:tcPr>
          <w:p w14:paraId="1EAF2279">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2.776</w:t>
            </w:r>
            <w:r>
              <w:rPr>
                <w:rFonts w:hint="eastAsia" w:ascii="仿宋_GB2312" w:hAnsi="仿宋_GB2312" w:eastAsia="仿宋_GB2312" w:cs="仿宋_GB2312"/>
                <w:b/>
                <w:bCs/>
                <w:color w:val="000000"/>
                <w:kern w:val="0"/>
                <w:sz w:val="28"/>
                <w:szCs w:val="28"/>
                <w:lang w:val="en-US" w:eastAsia="zh-CN"/>
              </w:rPr>
              <w:fldChar w:fldCharType="end"/>
            </w:r>
          </w:p>
        </w:tc>
        <w:tc>
          <w:tcPr>
            <w:tcW w:w="982" w:type="pct"/>
            <w:noWrap w:val="0"/>
            <w:vAlign w:val="center"/>
          </w:tcPr>
          <w:p w14:paraId="50083851">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shd w:val="clear" w:color="auto" w:fill="auto"/>
            <w:noWrap w:val="0"/>
            <w:vAlign w:val="center"/>
          </w:tcPr>
          <w:p w14:paraId="0CC09995">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12.770</w:t>
            </w:r>
            <w:r>
              <w:rPr>
                <w:rFonts w:hint="eastAsia" w:ascii="仿宋_GB2312" w:hAnsi="仿宋_GB2312" w:eastAsia="仿宋_GB2312" w:cs="仿宋_GB2312"/>
                <w:b/>
                <w:bCs/>
                <w:color w:val="000000"/>
                <w:kern w:val="0"/>
                <w:sz w:val="28"/>
                <w:szCs w:val="28"/>
                <w:lang w:val="en-US" w:eastAsia="zh-CN"/>
              </w:rPr>
              <w:fldChar w:fldCharType="end"/>
            </w:r>
          </w:p>
        </w:tc>
      </w:tr>
    </w:tbl>
    <w:p w14:paraId="45BD27D3">
      <w:pPr>
        <w:keepNext w:val="0"/>
        <w:keepLines w:val="0"/>
        <w:pageBreakBefore w:val="0"/>
        <w:widowControl w:val="0"/>
        <w:numPr>
          <w:ilvl w:val="0"/>
          <w:numId w:val="0"/>
        </w:numPr>
        <w:kinsoku/>
        <w:wordWrap w:val="0"/>
        <w:overflowPunct/>
        <w:topLinePunct w:val="0"/>
        <w:autoSpaceDE/>
        <w:autoSpaceDN/>
        <w:bidi w:val="0"/>
        <w:adjustRightInd/>
        <w:snapToGrid/>
        <w:spacing w:line="360" w:lineRule="exact"/>
        <w:ind w:left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2、地上青苗补偿费</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1"/>
        <w:gridCol w:w="1658"/>
        <w:gridCol w:w="1609"/>
        <w:gridCol w:w="1651"/>
        <w:gridCol w:w="1528"/>
      </w:tblGrid>
      <w:tr w14:paraId="2C097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0" w:hRule="atLeast"/>
          <w:jc w:val="center"/>
        </w:trPr>
        <w:tc>
          <w:tcPr>
            <w:tcW w:w="1281" w:type="pct"/>
            <w:noWrap w:val="0"/>
            <w:vAlign w:val="center"/>
          </w:tcPr>
          <w:p w14:paraId="6B08D0E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56" w:type="pct"/>
            <w:noWrap w:val="0"/>
            <w:vAlign w:val="center"/>
          </w:tcPr>
          <w:p w14:paraId="3E8E1D8C">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928" w:type="pct"/>
            <w:noWrap w:val="0"/>
            <w:vAlign w:val="center"/>
          </w:tcPr>
          <w:p w14:paraId="434C6C2A">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52" w:type="pct"/>
            <w:noWrap w:val="0"/>
            <w:vAlign w:val="center"/>
          </w:tcPr>
          <w:p w14:paraId="149AAE8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(元/亩)</w:t>
            </w:r>
          </w:p>
        </w:tc>
        <w:tc>
          <w:tcPr>
            <w:tcW w:w="881" w:type="pct"/>
            <w:noWrap w:val="0"/>
            <w:vAlign w:val="center"/>
          </w:tcPr>
          <w:p w14:paraId="60E12097">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05E9C6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281" w:type="pct"/>
            <w:shd w:val="clear" w:color="auto" w:fill="auto"/>
            <w:noWrap w:val="0"/>
            <w:vAlign w:val="center"/>
          </w:tcPr>
          <w:p w14:paraId="031D0A7E">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兴安街道城郊村委会糯禾垅组</w:t>
            </w:r>
          </w:p>
        </w:tc>
        <w:tc>
          <w:tcPr>
            <w:tcW w:w="956" w:type="pct"/>
            <w:shd w:val="clear" w:color="auto" w:fill="auto"/>
            <w:noWrap w:val="0"/>
            <w:vAlign w:val="center"/>
          </w:tcPr>
          <w:p w14:paraId="2FAA4EA9">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水田</w:t>
            </w:r>
          </w:p>
        </w:tc>
        <w:tc>
          <w:tcPr>
            <w:tcW w:w="928" w:type="pct"/>
            <w:shd w:val="clear" w:color="auto" w:fill="auto"/>
            <w:noWrap w:val="0"/>
            <w:vAlign w:val="center"/>
          </w:tcPr>
          <w:p w14:paraId="445477C4">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bidi="ar-SA"/>
              </w:rPr>
              <w:t>2.776</w:t>
            </w:r>
          </w:p>
        </w:tc>
        <w:tc>
          <w:tcPr>
            <w:tcW w:w="952" w:type="pct"/>
            <w:shd w:val="clear" w:color="auto" w:fill="auto"/>
            <w:noWrap w:val="0"/>
            <w:vAlign w:val="center"/>
          </w:tcPr>
          <w:p w14:paraId="5B7FD13F">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t>0.12</w:t>
            </w:r>
          </w:p>
        </w:tc>
        <w:tc>
          <w:tcPr>
            <w:tcW w:w="881" w:type="pct"/>
            <w:shd w:val="clear" w:color="auto" w:fill="auto"/>
            <w:noWrap w:val="0"/>
            <w:vAlign w:val="center"/>
          </w:tcPr>
          <w:p w14:paraId="7AE29118">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仿宋" w:hAnsi="仿宋" w:eastAsia="仿宋" w:cs="仿宋"/>
                <w:color w:val="000000"/>
                <w:kern w:val="0"/>
                <w:sz w:val="28"/>
                <w:szCs w:val="28"/>
                <w:lang w:val="en-US" w:eastAsia="zh-CN" w:bidi="ar-SA"/>
              </w:rPr>
            </w:pPr>
            <w:r>
              <w:rPr>
                <w:rFonts w:hint="eastAsia" w:ascii="仿宋" w:hAnsi="仿宋" w:eastAsia="仿宋" w:cs="仿宋"/>
                <w:color w:val="000000"/>
                <w:kern w:val="0"/>
                <w:sz w:val="28"/>
                <w:szCs w:val="28"/>
                <w:lang w:val="en-US" w:eastAsia="zh-CN"/>
              </w:rPr>
              <w:fldChar w:fldCharType="begin"/>
            </w:r>
            <w:r>
              <w:rPr>
                <w:rFonts w:hint="eastAsia" w:ascii="仿宋" w:hAnsi="仿宋" w:eastAsia="仿宋" w:cs="仿宋"/>
                <w:color w:val="000000"/>
                <w:kern w:val="0"/>
                <w:sz w:val="28"/>
                <w:szCs w:val="28"/>
                <w:lang w:val="en-US" w:eastAsia="zh-CN"/>
              </w:rPr>
              <w:instrText xml:space="preserve"> =PRODUCT(LEFT) \# "0.000" \* MERGEFORMAT </w:instrText>
            </w:r>
            <w:r>
              <w:rPr>
                <w:rFonts w:hint="eastAsia" w:ascii="仿宋" w:hAnsi="仿宋" w:eastAsia="仿宋" w:cs="仿宋"/>
                <w:color w:val="000000"/>
                <w:kern w:val="0"/>
                <w:sz w:val="28"/>
                <w:szCs w:val="28"/>
                <w:lang w:val="en-US" w:eastAsia="zh-CN"/>
              </w:rPr>
              <w:fldChar w:fldCharType="separate"/>
            </w:r>
            <w:r>
              <w:rPr>
                <w:rFonts w:hint="eastAsia" w:ascii="仿宋" w:hAnsi="仿宋" w:eastAsia="仿宋" w:cs="仿宋"/>
                <w:color w:val="000000"/>
                <w:kern w:val="0"/>
                <w:sz w:val="28"/>
                <w:szCs w:val="28"/>
                <w:lang w:val="en-US" w:eastAsia="zh-CN"/>
              </w:rPr>
              <w:t>0.333</w:t>
            </w:r>
            <w:r>
              <w:rPr>
                <w:rFonts w:hint="eastAsia" w:ascii="仿宋" w:hAnsi="仿宋" w:eastAsia="仿宋" w:cs="仿宋"/>
                <w:color w:val="000000"/>
                <w:kern w:val="0"/>
                <w:sz w:val="28"/>
                <w:szCs w:val="28"/>
                <w:lang w:val="en-US" w:eastAsia="zh-CN"/>
              </w:rPr>
              <w:fldChar w:fldCharType="end"/>
            </w:r>
          </w:p>
        </w:tc>
      </w:tr>
      <w:tr w14:paraId="6E506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1A98FBA9">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928" w:type="pct"/>
            <w:shd w:val="clear" w:color="auto" w:fill="auto"/>
            <w:noWrap w:val="0"/>
            <w:vAlign w:val="center"/>
          </w:tcPr>
          <w:p w14:paraId="332A51D5">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2.776</w:t>
            </w:r>
            <w:r>
              <w:rPr>
                <w:rFonts w:hint="eastAsia" w:ascii="仿宋_GB2312" w:hAnsi="仿宋_GB2312" w:eastAsia="仿宋_GB2312" w:cs="仿宋_GB2312"/>
                <w:b/>
                <w:bCs/>
                <w:color w:val="000000"/>
                <w:kern w:val="0"/>
                <w:sz w:val="28"/>
                <w:szCs w:val="28"/>
                <w:lang w:val="en-US" w:eastAsia="zh-CN"/>
              </w:rPr>
              <w:fldChar w:fldCharType="end"/>
            </w:r>
          </w:p>
        </w:tc>
        <w:tc>
          <w:tcPr>
            <w:tcW w:w="952" w:type="pct"/>
            <w:noWrap w:val="0"/>
            <w:vAlign w:val="center"/>
          </w:tcPr>
          <w:p w14:paraId="618F6948">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noWrap w:val="0"/>
            <w:vAlign w:val="center"/>
          </w:tcPr>
          <w:p w14:paraId="54345E45">
            <w:pPr>
              <w:keepNext w:val="0"/>
              <w:keepLines w:val="0"/>
              <w:pageBreakBefore w:val="0"/>
              <w:widowControl w:val="0"/>
              <w:kinsoku/>
              <w:overflowPunct/>
              <w:topLinePunct w:val="0"/>
              <w:autoSpaceDE/>
              <w:autoSpaceDN/>
              <w:bidi w:val="0"/>
              <w:adjustRightInd/>
              <w:snapToGrid/>
              <w:spacing w:line="36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0.333</w:t>
            </w:r>
            <w:r>
              <w:rPr>
                <w:rFonts w:hint="eastAsia" w:ascii="仿宋_GB2312" w:hAnsi="仿宋_GB2312" w:eastAsia="仿宋_GB2312" w:cs="仿宋_GB2312"/>
                <w:b/>
                <w:bCs/>
                <w:color w:val="000000"/>
                <w:kern w:val="0"/>
                <w:sz w:val="28"/>
                <w:szCs w:val="28"/>
                <w:lang w:val="en-US" w:eastAsia="zh-CN"/>
              </w:rPr>
              <w:fldChar w:fldCharType="end"/>
            </w:r>
          </w:p>
        </w:tc>
      </w:tr>
    </w:tbl>
    <w:p w14:paraId="6C8A67A5">
      <w:pPr>
        <w:keepNext w:val="0"/>
        <w:keepLines w:val="0"/>
        <w:pageBreakBefore w:val="0"/>
        <w:widowControl w:val="0"/>
        <w:kinsoku/>
        <w:wordWrap w:val="0"/>
        <w:overflowPunct/>
        <w:topLinePunct w:val="0"/>
        <w:autoSpaceDE/>
        <w:autoSpaceDN/>
        <w:bidi w:val="0"/>
        <w:adjustRightInd/>
        <w:snapToGrid/>
        <w:spacing w:line="46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两项费用总计人民币大写：</w:t>
      </w:r>
      <w:r>
        <w:rPr>
          <w:rFonts w:hint="eastAsia" w:ascii="仿宋_GB2312" w:hAnsi="仿宋_GB2312" w:eastAsia="仿宋_GB2312" w:cs="仿宋_GB2312"/>
          <w:b/>
          <w:bCs/>
          <w:sz w:val="32"/>
          <w:szCs w:val="32"/>
          <w:lang w:val="en-US" w:eastAsia="zh-CN"/>
        </w:rPr>
        <w:fldChar w:fldCharType="begin"/>
      </w:r>
      <w:r>
        <w:rPr>
          <w:rFonts w:hint="eastAsia" w:ascii="仿宋_GB2312" w:hAnsi="仿宋_GB2312" w:eastAsia="仿宋_GB2312" w:cs="仿宋_GB2312"/>
          <w:b/>
          <w:bCs/>
          <w:sz w:val="32"/>
          <w:szCs w:val="32"/>
          <w:lang w:val="en-US" w:eastAsia="zh-CN"/>
        </w:rPr>
        <w:instrText xml:space="preserve"> = 131030 \* CHINESENUM4 \* MERGEFORMAT </w:instrText>
      </w:r>
      <w:r>
        <w:rPr>
          <w:rFonts w:hint="eastAsia" w:ascii="仿宋_GB2312" w:hAnsi="仿宋_GB2312" w:eastAsia="仿宋_GB2312" w:cs="仿宋_GB2312"/>
          <w:b/>
          <w:bCs/>
          <w:sz w:val="32"/>
          <w:szCs w:val="32"/>
          <w:lang w:val="en-US" w:eastAsia="zh-CN"/>
        </w:rPr>
        <w:fldChar w:fldCharType="separate"/>
      </w:r>
      <w:r>
        <w:rPr>
          <w:rFonts w:hint="eastAsia" w:ascii="仿宋_GB2312" w:hAnsi="仿宋_GB2312" w:eastAsia="仿宋_GB2312" w:cs="仿宋_GB2312"/>
          <w:b/>
          <w:bCs/>
          <w:sz w:val="32"/>
          <w:szCs w:val="32"/>
          <w:lang w:val="en-US" w:eastAsia="zh-CN"/>
        </w:rPr>
        <w:t>壹拾叁万壹仟零叁拾元整</w:t>
      </w:r>
      <w:r>
        <w:rPr>
          <w:rFonts w:hint="eastAsia" w:ascii="仿宋_GB2312" w:hAnsi="仿宋_GB2312" w:eastAsia="仿宋_GB2312" w:cs="仿宋_GB2312"/>
          <w:b/>
          <w:bCs/>
          <w:sz w:val="32"/>
          <w:szCs w:val="32"/>
          <w:lang w:val="en-US" w:eastAsia="zh-CN"/>
        </w:rPr>
        <w:fldChar w:fldCharType="end"/>
      </w:r>
      <w:r>
        <w:rPr>
          <w:rFonts w:hint="eastAsia" w:ascii="仿宋_GB2312" w:hAnsi="仿宋_GB2312" w:eastAsia="仿宋_GB2312" w:cs="仿宋_GB2312"/>
          <w:b/>
          <w:bCs/>
          <w:sz w:val="32"/>
          <w:szCs w:val="32"/>
          <w:lang w:val="en-US" w:eastAsia="zh-CN"/>
        </w:rPr>
        <w:t>（小写：13.103万元）。</w:t>
      </w:r>
      <w:bookmarkStart w:id="0" w:name="_GoBack"/>
      <w:bookmarkEnd w:id="0"/>
    </w:p>
    <w:p w14:paraId="2F83773A">
      <w:pPr>
        <w:keepNext w:val="0"/>
        <w:keepLines w:val="0"/>
        <w:pageBreakBefore w:val="0"/>
        <w:widowControl w:val="0"/>
        <w:kinsoku/>
        <w:wordWrap w:val="0"/>
        <w:overflowPunct/>
        <w:topLinePunct w:val="0"/>
        <w:autoSpaceDE/>
        <w:autoSpaceDN/>
        <w:bidi w:val="0"/>
        <w:adjustRightInd/>
        <w:snapToGrid/>
        <w:spacing w:line="46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（二）支付对象</w:t>
      </w:r>
      <w:r>
        <w:rPr>
          <w:rFonts w:hint="eastAsia" w:ascii="仿宋" w:hAnsi="仿宋" w:eastAsia="仿宋" w:cs="仿宋"/>
          <w:sz w:val="30"/>
          <w:szCs w:val="30"/>
          <w:lang w:val="en-US" w:eastAsia="zh-CN"/>
        </w:rPr>
        <w:t xml:space="preserve"> </w:t>
      </w:r>
    </w:p>
    <w:p w14:paraId="0DAD8EC3">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1、土地补偿费、安置补助费足额支付给被征地农村集体经济组织，被征地农村集体经济组织根据分配方案进行分配。 </w:t>
      </w:r>
    </w:p>
    <w:p w14:paraId="1A08BD56">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2、青苗及树木等属于拟被征地农村集体经济组织所有的，其补偿费支付给拟被征地农村集体经济组织；属于个人或承包经营者所有的，其补偿费支付给个人或承包经营者。 </w:t>
      </w:r>
    </w:p>
    <w:p w14:paraId="22DA5C00">
      <w:pPr>
        <w:keepNext w:val="0"/>
        <w:keepLines w:val="0"/>
        <w:pageBreakBefore w:val="0"/>
        <w:widowControl w:val="0"/>
        <w:kinsoku/>
        <w:wordWrap w:val="0"/>
        <w:overflowPunct/>
        <w:topLinePunct w:val="0"/>
        <w:autoSpaceDE/>
        <w:autoSpaceDN/>
        <w:bidi w:val="0"/>
        <w:adjustRightInd/>
        <w:snapToGrid/>
        <w:spacing w:line="46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（三）支付方式</w:t>
      </w:r>
      <w:r>
        <w:rPr>
          <w:rFonts w:hint="eastAsia" w:ascii="仿宋" w:hAnsi="仿宋" w:eastAsia="仿宋" w:cs="仿宋"/>
          <w:sz w:val="30"/>
          <w:szCs w:val="30"/>
          <w:lang w:val="en-US" w:eastAsia="zh-CN"/>
        </w:rPr>
        <w:t xml:space="preserve"> </w:t>
      </w:r>
    </w:p>
    <w:p w14:paraId="4D2F08A6">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所有费用以转账方式线上支付。</w:t>
      </w:r>
      <w:r>
        <w:rPr>
          <w:rFonts w:hint="eastAsia" w:ascii="仿宋" w:hAnsi="仿宋" w:eastAsia="仿宋" w:cs="仿宋"/>
          <w:sz w:val="30"/>
          <w:szCs w:val="30"/>
          <w:lang w:val="en-US" w:eastAsia="zh-CN"/>
        </w:rPr>
        <w:t xml:space="preserve"> </w:t>
      </w:r>
    </w:p>
    <w:p w14:paraId="3B7D8A4D">
      <w:pPr>
        <w:keepNext w:val="0"/>
        <w:keepLines w:val="0"/>
        <w:pageBreakBefore w:val="0"/>
        <w:widowControl w:val="0"/>
        <w:kinsoku/>
        <w:wordWrap w:val="0"/>
        <w:overflowPunct/>
        <w:topLinePunct w:val="0"/>
        <w:autoSpaceDE/>
        <w:autoSpaceDN/>
        <w:bidi w:val="0"/>
        <w:adjustRightInd/>
        <w:snapToGrid/>
        <w:spacing w:line="46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（四）支付期限</w:t>
      </w:r>
      <w:r>
        <w:rPr>
          <w:rFonts w:hint="eastAsia" w:ascii="仿宋" w:hAnsi="仿宋" w:eastAsia="仿宋" w:cs="仿宋"/>
          <w:sz w:val="30"/>
          <w:szCs w:val="30"/>
          <w:lang w:val="en-US" w:eastAsia="zh-CN"/>
        </w:rPr>
        <w:t xml:space="preserve"> </w:t>
      </w:r>
    </w:p>
    <w:p w14:paraId="4185D085">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上述费用应当在征收土地公告发布之日起60日内足额支付。对个别未达成征地补偿安置协议的，支付期限自征收土地补偿安置决定作出之日起计算，即作出补偿安置决定之日起60日之内支付。</w:t>
      </w:r>
    </w:p>
    <w:p w14:paraId="54325AD1">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其他安置方式的期限按协议约定执行。</w:t>
      </w:r>
    </w:p>
    <w:p w14:paraId="585B31B3">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五、公告期限</w:t>
      </w:r>
      <w:r>
        <w:rPr>
          <w:rFonts w:hint="eastAsia" w:ascii="仿宋" w:hAnsi="仿宋" w:eastAsia="仿宋" w:cs="仿宋"/>
          <w:sz w:val="30"/>
          <w:szCs w:val="30"/>
          <w:lang w:val="en-US" w:eastAsia="zh-CN"/>
        </w:rPr>
        <w:t xml:space="preserve"> </w:t>
      </w:r>
    </w:p>
    <w:p w14:paraId="7F80C015">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本公告期限自2024年12月25日至2025年1月26日。</w:t>
      </w:r>
      <w:r>
        <w:rPr>
          <w:rFonts w:hint="eastAsia" w:ascii="仿宋" w:hAnsi="仿宋" w:eastAsia="仿宋" w:cs="仿宋"/>
          <w:sz w:val="30"/>
          <w:szCs w:val="30"/>
          <w:lang w:val="en-US" w:eastAsia="zh-CN"/>
        </w:rPr>
        <w:t xml:space="preserve"> </w:t>
      </w:r>
    </w:p>
    <w:p w14:paraId="5BEFD9A4">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六、补偿登记 </w:t>
      </w:r>
    </w:p>
    <w:p w14:paraId="6F9DE4E0">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公告发布后，被征收土地所有权人、使用权人请于2025年1月26日前，持不动产权属证明材料前往横峰县自然资源局三楼土地征收服务股办理补偿登记（或书面委托他人办理补偿登记），未在规定期限内办理补偿登记的，相关信息按照土地现状调查公示结果确定。</w:t>
      </w:r>
    </w:p>
    <w:p w14:paraId="0F4B76F8">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七、听证事项 </w:t>
      </w:r>
    </w:p>
    <w:p w14:paraId="7DB0F527">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按照《自然资源听证规定》规定，拟被征地农村集体经济组织及成员应在收到听证告知书之日起5个工作日内提出书面申请</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逾期未提出的</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视为放弃听证。超半数农村集体经济组织成员对方案提出异议的，横峰县人民政府将依法组织召开听证会，相关事项另行通知。</w:t>
      </w:r>
    </w:p>
    <w:p w14:paraId="2195E160">
      <w:pPr>
        <w:keepNext w:val="0"/>
        <w:keepLines w:val="0"/>
        <w:pageBreakBefore w:val="0"/>
        <w:widowControl w:val="0"/>
        <w:kinsoku/>
        <w:wordWrap/>
        <w:overflowPunct/>
        <w:topLinePunct w:val="0"/>
        <w:autoSpaceDE/>
        <w:autoSpaceDN/>
        <w:bidi w:val="0"/>
        <w:adjustRightInd/>
        <w:snapToGrid/>
        <w:spacing w:line="46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八、异议反馈与处理 </w:t>
      </w:r>
    </w:p>
    <w:p w14:paraId="692361AC">
      <w:pPr>
        <w:keepNext w:val="0"/>
        <w:keepLines w:val="0"/>
        <w:pageBreakBefore w:val="0"/>
        <w:widowControl w:val="0"/>
        <w:kinsoku/>
        <w:overflowPunct/>
        <w:topLinePunct w:val="0"/>
        <w:autoSpaceDE/>
        <w:autoSpaceDN/>
        <w:bidi w:val="0"/>
        <w:adjustRightInd/>
        <w:snapToGrid/>
        <w:spacing w:line="460" w:lineRule="exact"/>
        <w:ind w:right="-92" w:rightChars="-44" w:firstLine="640" w:firstLineChars="200"/>
        <w:textAlignment w:val="auto"/>
        <w:rPr>
          <w:rFonts w:hint="eastAsia" w:ascii="仿宋_GB2312" w:hAnsi="仿宋_GB2312" w:eastAsia="仿宋_GB2312" w:cs="仿宋_GB2312"/>
          <w:bCs/>
          <w:sz w:val="32"/>
          <w:szCs w:val="32"/>
          <w:u w:val="none"/>
          <w:lang w:val="en-US" w:eastAsia="zh-CN"/>
        </w:rPr>
      </w:pPr>
      <w:r>
        <w:rPr>
          <w:rFonts w:hint="eastAsia" w:ascii="仿宋_GB2312" w:hAnsi="仿宋_GB2312" w:eastAsia="仿宋_GB2312" w:cs="仿宋_GB2312"/>
          <w:sz w:val="32"/>
          <w:szCs w:val="32"/>
          <w:lang w:val="en-US" w:eastAsia="zh-CN"/>
        </w:rPr>
        <w:t>拟征收土地范围内的土地所有权人、使用权人对补偿安置方案有异议的，在本公告期内提出。我县人民政府将结合异议反馈及听证情况，适时修改补偿安置方案并再次公告。</w:t>
      </w:r>
    </w:p>
    <w:p w14:paraId="4AFAB887">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p>
    <w:p w14:paraId="65A1DB87">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联系单位：横峰县自然资源局</w:t>
      </w:r>
    </w:p>
    <w:p w14:paraId="02047403">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联系地点：横峰县自然资源局三楼</w:t>
      </w:r>
      <w:r>
        <w:rPr>
          <w:rFonts w:hint="eastAsia" w:ascii="仿宋_GB2312" w:hAnsi="仿宋_GB2312" w:eastAsia="仿宋_GB2312" w:cs="仿宋_GB2312"/>
          <w:b w:val="0"/>
          <w:i w:val="0"/>
          <w:caps w:val="0"/>
          <w:spacing w:val="0"/>
          <w:w w:val="100"/>
          <w:sz w:val="32"/>
          <w:szCs w:val="32"/>
          <w:highlight w:val="none"/>
          <w:lang w:val="en-US" w:eastAsia="zh-CN"/>
        </w:rPr>
        <w:t>土地征收服务股</w:t>
      </w:r>
      <w:r>
        <w:rPr>
          <w:rFonts w:hint="eastAsia" w:ascii="仿宋_GB2312" w:hAnsi="仿宋_GB2312" w:eastAsia="仿宋_GB2312" w:cs="仿宋_GB2312"/>
          <w:sz w:val="32"/>
          <w:szCs w:val="32"/>
          <w:lang w:val="en-US" w:eastAsia="zh-CN"/>
        </w:rPr>
        <w:t xml:space="preserve"> </w:t>
      </w:r>
    </w:p>
    <w:p w14:paraId="6C9AB591">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联系人员：潘斌斌  </w:t>
      </w:r>
    </w:p>
    <w:p w14:paraId="1F6E65D9">
      <w:pPr>
        <w:keepNext w:val="0"/>
        <w:keepLines w:val="0"/>
        <w:pageBreakBefore w:val="0"/>
        <w:widowControl w:val="0"/>
        <w:kinsoku/>
        <w:wordWrap w:val="0"/>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联系电话：0793-5503637 </w:t>
      </w:r>
    </w:p>
    <w:p w14:paraId="0621A7C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仿宋_GB2312" w:hAnsi="仿宋_GB2312" w:eastAsia="仿宋_GB2312" w:cs="仿宋_GB2312"/>
          <w:sz w:val="32"/>
          <w:szCs w:val="32"/>
          <w:lang w:val="en-US" w:eastAsia="zh-CN"/>
        </w:rPr>
      </w:pPr>
    </w:p>
    <w:p w14:paraId="7566726B">
      <w:pPr>
        <w:pStyle w:val="2"/>
        <w:rPr>
          <w:rFonts w:hint="eastAsia"/>
          <w:lang w:val="en-US" w:eastAsia="zh-CN"/>
        </w:rPr>
      </w:pPr>
    </w:p>
    <w:p w14:paraId="07C1F97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仿宋_GB2312" w:hAnsi="仿宋_GB2312" w:eastAsia="仿宋_GB2312" w:cs="仿宋_GB2312"/>
          <w:sz w:val="32"/>
          <w:szCs w:val="32"/>
          <w:lang w:val="en-US" w:eastAsia="zh-CN"/>
        </w:rPr>
      </w:pPr>
    </w:p>
    <w:p w14:paraId="2D100882">
      <w:pPr>
        <w:keepNext w:val="0"/>
        <w:keepLines w:val="0"/>
        <w:pageBreakBefore w:val="0"/>
        <w:widowControl w:val="0"/>
        <w:kinsoku/>
        <w:wordWrap w:val="0"/>
        <w:overflowPunct/>
        <w:topLinePunct w:val="0"/>
        <w:autoSpaceDE/>
        <w:autoSpaceDN/>
        <w:bidi w:val="0"/>
        <w:adjustRightInd/>
        <w:snapToGrid/>
        <w:spacing w:line="44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横峰县人民政府</w:t>
      </w:r>
    </w:p>
    <w:p w14:paraId="6ADE4552">
      <w:pPr>
        <w:keepNext w:val="0"/>
        <w:keepLines w:val="0"/>
        <w:pageBreakBefore w:val="0"/>
        <w:widowControl w:val="0"/>
        <w:kinsoku/>
        <w:wordWrap w:val="0"/>
        <w:overflowPunct/>
        <w:topLinePunct w:val="0"/>
        <w:autoSpaceDE/>
        <w:autoSpaceDN/>
        <w:bidi w:val="0"/>
        <w:adjustRightInd/>
        <w:snapToGrid/>
        <w:spacing w:line="44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2024年12月25日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60470F10"/>
    <w:rsid w:val="01016C5E"/>
    <w:rsid w:val="010303B2"/>
    <w:rsid w:val="015C1DBB"/>
    <w:rsid w:val="017879F2"/>
    <w:rsid w:val="02395789"/>
    <w:rsid w:val="02874FB9"/>
    <w:rsid w:val="028B69DC"/>
    <w:rsid w:val="03600692"/>
    <w:rsid w:val="038B0220"/>
    <w:rsid w:val="038D65C5"/>
    <w:rsid w:val="03B24640"/>
    <w:rsid w:val="03D2113A"/>
    <w:rsid w:val="04113803"/>
    <w:rsid w:val="047D0461"/>
    <w:rsid w:val="052434C5"/>
    <w:rsid w:val="05D20F9F"/>
    <w:rsid w:val="06F640F2"/>
    <w:rsid w:val="07EC0192"/>
    <w:rsid w:val="082569A6"/>
    <w:rsid w:val="083572E7"/>
    <w:rsid w:val="083D5469"/>
    <w:rsid w:val="083E6046"/>
    <w:rsid w:val="08D06772"/>
    <w:rsid w:val="098F41B9"/>
    <w:rsid w:val="099E740A"/>
    <w:rsid w:val="0A176D34"/>
    <w:rsid w:val="0A5A7609"/>
    <w:rsid w:val="0AE20526"/>
    <w:rsid w:val="0AE5100F"/>
    <w:rsid w:val="0D440DD0"/>
    <w:rsid w:val="0D8516D3"/>
    <w:rsid w:val="0DC33448"/>
    <w:rsid w:val="0EDD3455"/>
    <w:rsid w:val="0F126C0C"/>
    <w:rsid w:val="0FD039E2"/>
    <w:rsid w:val="119304A3"/>
    <w:rsid w:val="12162CEE"/>
    <w:rsid w:val="12CD545B"/>
    <w:rsid w:val="130342EC"/>
    <w:rsid w:val="14350A22"/>
    <w:rsid w:val="14776457"/>
    <w:rsid w:val="14C005B3"/>
    <w:rsid w:val="14EA7E7C"/>
    <w:rsid w:val="15391795"/>
    <w:rsid w:val="1547155E"/>
    <w:rsid w:val="158F525C"/>
    <w:rsid w:val="16C27DDC"/>
    <w:rsid w:val="16DC0E58"/>
    <w:rsid w:val="16F42ED4"/>
    <w:rsid w:val="17B230A8"/>
    <w:rsid w:val="187B264F"/>
    <w:rsid w:val="18FD5071"/>
    <w:rsid w:val="19067C30"/>
    <w:rsid w:val="1912647A"/>
    <w:rsid w:val="19B853DC"/>
    <w:rsid w:val="19C5386D"/>
    <w:rsid w:val="19E341FE"/>
    <w:rsid w:val="19FB0CBC"/>
    <w:rsid w:val="1AB86BAD"/>
    <w:rsid w:val="1B2304CB"/>
    <w:rsid w:val="1B2F454E"/>
    <w:rsid w:val="1C80527A"/>
    <w:rsid w:val="1D322C47"/>
    <w:rsid w:val="1E1D5DCD"/>
    <w:rsid w:val="1EBE15AE"/>
    <w:rsid w:val="1EFF4DAB"/>
    <w:rsid w:val="1F217892"/>
    <w:rsid w:val="1FDB053D"/>
    <w:rsid w:val="20C235DC"/>
    <w:rsid w:val="20F72125"/>
    <w:rsid w:val="213045FF"/>
    <w:rsid w:val="21A52FF1"/>
    <w:rsid w:val="224C4164"/>
    <w:rsid w:val="22D036B1"/>
    <w:rsid w:val="246E1A6F"/>
    <w:rsid w:val="25C31322"/>
    <w:rsid w:val="2620749E"/>
    <w:rsid w:val="26521066"/>
    <w:rsid w:val="2670660D"/>
    <w:rsid w:val="27B77ACB"/>
    <w:rsid w:val="27D447CC"/>
    <w:rsid w:val="28687CA5"/>
    <w:rsid w:val="29060038"/>
    <w:rsid w:val="2A267AF0"/>
    <w:rsid w:val="2AAF1221"/>
    <w:rsid w:val="2AD42833"/>
    <w:rsid w:val="2AE84108"/>
    <w:rsid w:val="2B501AAD"/>
    <w:rsid w:val="2BD24109"/>
    <w:rsid w:val="2C5524AE"/>
    <w:rsid w:val="2CD9361A"/>
    <w:rsid w:val="2D412A32"/>
    <w:rsid w:val="2E783D1C"/>
    <w:rsid w:val="30362375"/>
    <w:rsid w:val="323B14D0"/>
    <w:rsid w:val="34C71A69"/>
    <w:rsid w:val="35A12C80"/>
    <w:rsid w:val="35B84243"/>
    <w:rsid w:val="35BE3ECD"/>
    <w:rsid w:val="35DB5480"/>
    <w:rsid w:val="369861A9"/>
    <w:rsid w:val="36FB3CC0"/>
    <w:rsid w:val="388C0020"/>
    <w:rsid w:val="394202A3"/>
    <w:rsid w:val="39574993"/>
    <w:rsid w:val="3AB44863"/>
    <w:rsid w:val="3AD357AE"/>
    <w:rsid w:val="3C70501D"/>
    <w:rsid w:val="3DB97672"/>
    <w:rsid w:val="3F592D16"/>
    <w:rsid w:val="3F8118BA"/>
    <w:rsid w:val="3FBA36AA"/>
    <w:rsid w:val="418436DD"/>
    <w:rsid w:val="419E729D"/>
    <w:rsid w:val="41BE2340"/>
    <w:rsid w:val="42385237"/>
    <w:rsid w:val="42A82437"/>
    <w:rsid w:val="42CD5832"/>
    <w:rsid w:val="43CD398E"/>
    <w:rsid w:val="44A54CD3"/>
    <w:rsid w:val="450242C7"/>
    <w:rsid w:val="45196D07"/>
    <w:rsid w:val="461344EF"/>
    <w:rsid w:val="465D6208"/>
    <w:rsid w:val="46AA6361"/>
    <w:rsid w:val="48ED5F94"/>
    <w:rsid w:val="49AE42D6"/>
    <w:rsid w:val="4A496829"/>
    <w:rsid w:val="4AA948CD"/>
    <w:rsid w:val="4CDD2406"/>
    <w:rsid w:val="4CDE41D7"/>
    <w:rsid w:val="4D082A36"/>
    <w:rsid w:val="4D813DEC"/>
    <w:rsid w:val="4D8C367F"/>
    <w:rsid w:val="4DBF22D5"/>
    <w:rsid w:val="4E132C4A"/>
    <w:rsid w:val="4E6D14FD"/>
    <w:rsid w:val="500F06C5"/>
    <w:rsid w:val="51902427"/>
    <w:rsid w:val="51A12A32"/>
    <w:rsid w:val="52707792"/>
    <w:rsid w:val="53782433"/>
    <w:rsid w:val="53CC56BF"/>
    <w:rsid w:val="53D5318D"/>
    <w:rsid w:val="56271E64"/>
    <w:rsid w:val="562E5554"/>
    <w:rsid w:val="568F45D1"/>
    <w:rsid w:val="56AA4A2A"/>
    <w:rsid w:val="57494ADC"/>
    <w:rsid w:val="57820FDB"/>
    <w:rsid w:val="58430E84"/>
    <w:rsid w:val="585A2BD4"/>
    <w:rsid w:val="58AA7B94"/>
    <w:rsid w:val="5A3F1475"/>
    <w:rsid w:val="5A594F7D"/>
    <w:rsid w:val="5A941F30"/>
    <w:rsid w:val="5CC05FB8"/>
    <w:rsid w:val="60470F10"/>
    <w:rsid w:val="60BA3B62"/>
    <w:rsid w:val="60C80807"/>
    <w:rsid w:val="614F61F1"/>
    <w:rsid w:val="618E266B"/>
    <w:rsid w:val="61A8173A"/>
    <w:rsid w:val="63484D33"/>
    <w:rsid w:val="63495A8C"/>
    <w:rsid w:val="63DA2CBD"/>
    <w:rsid w:val="63EF4DCA"/>
    <w:rsid w:val="63FF6E5F"/>
    <w:rsid w:val="647A1AC0"/>
    <w:rsid w:val="64FB496B"/>
    <w:rsid w:val="663675D9"/>
    <w:rsid w:val="667473F9"/>
    <w:rsid w:val="66902879"/>
    <w:rsid w:val="67A4786A"/>
    <w:rsid w:val="68490412"/>
    <w:rsid w:val="686510E4"/>
    <w:rsid w:val="6870741F"/>
    <w:rsid w:val="690C2AB2"/>
    <w:rsid w:val="69416AEB"/>
    <w:rsid w:val="69665F7F"/>
    <w:rsid w:val="696839A1"/>
    <w:rsid w:val="69D4450E"/>
    <w:rsid w:val="69D63F27"/>
    <w:rsid w:val="6A28066C"/>
    <w:rsid w:val="6B345453"/>
    <w:rsid w:val="6B676B8F"/>
    <w:rsid w:val="6B6F7C1D"/>
    <w:rsid w:val="6C1755BC"/>
    <w:rsid w:val="6D091EA5"/>
    <w:rsid w:val="6D5C587A"/>
    <w:rsid w:val="6D611304"/>
    <w:rsid w:val="6DE72159"/>
    <w:rsid w:val="6ED47FE9"/>
    <w:rsid w:val="700E4F6F"/>
    <w:rsid w:val="720D24B0"/>
    <w:rsid w:val="735724E0"/>
    <w:rsid w:val="73F6728B"/>
    <w:rsid w:val="742773AB"/>
    <w:rsid w:val="748719DD"/>
    <w:rsid w:val="758958F4"/>
    <w:rsid w:val="75B21A9F"/>
    <w:rsid w:val="75B305AA"/>
    <w:rsid w:val="767554D9"/>
    <w:rsid w:val="76FB7611"/>
    <w:rsid w:val="77742862"/>
    <w:rsid w:val="77755782"/>
    <w:rsid w:val="78B03D5F"/>
    <w:rsid w:val="78B97DC3"/>
    <w:rsid w:val="7AE40C2D"/>
    <w:rsid w:val="7BD17787"/>
    <w:rsid w:val="7CC95537"/>
    <w:rsid w:val="7E3314F0"/>
    <w:rsid w:val="7EA57E52"/>
    <w:rsid w:val="7F382EE6"/>
    <w:rsid w:val="7FF04B61"/>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0"/>
    <w:basedOn w:val="1"/>
    <w:qFormat/>
    <w:uiPriority w:val="0"/>
    <w:rPr>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1436</Words>
  <Characters>1595</Characters>
  <Lines>0</Lines>
  <Paragraphs>0</Paragraphs>
  <TotalTime>2</TotalTime>
  <ScaleCrop>false</ScaleCrop>
  <LinksUpToDate>false</LinksUpToDate>
  <CharactersWithSpaces>1627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2019-01-15T08:08:00Z</dcterms:created>
  <dc:creator>Administrator</dc:creator>
  <cp:lastModifiedBy>安末</cp:lastModifiedBy>
  <cp:lastPrinted>2024-12-19T07:15:12Z</cp:lastPrinted>
  <dcterms:modified xsi:type="dcterms:W3CDTF">2024-12-19T07:15:44Z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9833E7BFC8C947D7B683A5A69318A6D3</vt:lpwstr>
  </property>
</Properties>
</file>