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AFA1">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横峰县人民政府</w:t>
      </w:r>
    </w:p>
    <w:p w14:paraId="36E68B7E">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关于城市污水处理厂项目（二期）</w:t>
      </w:r>
    </w:p>
    <w:p w14:paraId="02D18A9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拟征收（收回）土地补偿安置方案公告</w:t>
      </w:r>
    </w:p>
    <w:p w14:paraId="7F5F7A15">
      <w:pPr>
        <w:pStyle w:val="2"/>
        <w:rPr>
          <w:rFonts w:hint="eastAsia"/>
          <w:lang w:val="en-US" w:eastAsia="zh-CN"/>
        </w:rPr>
      </w:pPr>
    </w:p>
    <w:p w14:paraId="2A8CA6C8">
      <w:pPr>
        <w:pStyle w:val="2"/>
        <w:keepNext w:val="0"/>
        <w:keepLines w:val="0"/>
        <w:pageBreakBefore w:val="0"/>
        <w:widowControl w:val="0"/>
        <w:kinsoku/>
        <w:overflowPunct/>
        <w:topLinePunct w:val="0"/>
        <w:autoSpaceDE/>
        <w:autoSpaceDN/>
        <w:bidi w:val="0"/>
        <w:adjustRightInd/>
        <w:spacing w:line="460" w:lineRule="exact"/>
        <w:textAlignment w:val="auto"/>
        <w:rPr>
          <w:rFonts w:hint="eastAsia"/>
          <w:lang w:val="en-US" w:eastAsia="zh-CN"/>
        </w:rPr>
      </w:pPr>
    </w:p>
    <w:p w14:paraId="02FB26BD">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中华人民共和国土地管理法》《中华人民共和国土地管理法实施条例》《江西省征收土地管理办法》《江西省人民政府关于公布全省征地区片综合地价的通知》（赣府字〔2023〕23号）《横峰县人民政府关于调整全县征地补偿标准的通知》（横府字〔2023〕23号）《横峰县规范征地管理工作的实施意见》（横府发〔2024〕1号）等规定，依据社会稳定风险评估结果和土地现状调查结果，横峰县人民政府组织相关部门拟订了城市污水处理厂项目（二期）拟征收（收回）土地补偿安置方案。现公告如下:</w:t>
      </w:r>
    </w:p>
    <w:p w14:paraId="19044955">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一、拟征收（收回）范围</w:t>
      </w:r>
      <w:r>
        <w:rPr>
          <w:rFonts w:hint="eastAsia" w:ascii="仿宋" w:hAnsi="仿宋" w:eastAsia="仿宋" w:cs="仿宋"/>
          <w:sz w:val="30"/>
          <w:szCs w:val="30"/>
          <w:lang w:val="en-US" w:eastAsia="zh-CN"/>
        </w:rPr>
        <w:t xml:space="preserve"> </w:t>
      </w:r>
    </w:p>
    <w:p w14:paraId="3B198452">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本次拟征地四至范围：新320国道以北，红军大道以南，上畈路口东，丁家路口以西</w:t>
      </w:r>
      <w:r>
        <w:rPr>
          <w:rFonts w:hint="eastAsia" w:ascii="仿宋_GB2312" w:hAnsi="仿宋_GB2312" w:eastAsia="仿宋_GB2312" w:cs="仿宋_GB2312"/>
          <w:sz w:val="32"/>
          <w:szCs w:val="32"/>
          <w:lang w:val="en-US" w:eastAsia="zh-CN"/>
        </w:rPr>
        <w:t>。经现状调查确认,本次拟征地块土地产权明晰，界址清楚，没有争议。涉及莲荷乡莲荷村委会赵家畈组；莲荷分场。</w:t>
      </w:r>
    </w:p>
    <w:p w14:paraId="64A38D37">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二、征收（收回）目的</w:t>
      </w:r>
      <w:r>
        <w:rPr>
          <w:rFonts w:hint="eastAsia" w:ascii="仿宋" w:hAnsi="仿宋" w:eastAsia="仿宋" w:cs="仿宋"/>
          <w:sz w:val="30"/>
          <w:szCs w:val="30"/>
          <w:lang w:val="en-US" w:eastAsia="zh-CN"/>
        </w:rPr>
        <w:t xml:space="preserve">  </w:t>
      </w:r>
    </w:p>
    <w:p w14:paraId="1BA9DBAB">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因公共利益的需要，此次拟征收（收回）土地规划用途为能源、交通、水利、通信、邮政等基础设施的建设，拟用于城市污水处理厂项目（二期）建设。</w:t>
      </w:r>
    </w:p>
    <w:p w14:paraId="049D287B">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三、土地现状调查结果</w:t>
      </w:r>
      <w:r>
        <w:rPr>
          <w:rFonts w:hint="eastAsia" w:ascii="仿宋" w:hAnsi="仿宋" w:eastAsia="仿宋" w:cs="仿宋"/>
          <w:sz w:val="30"/>
          <w:szCs w:val="30"/>
          <w:lang w:val="en-US" w:eastAsia="zh-CN"/>
        </w:rPr>
        <w:t xml:space="preserve"> </w:t>
      </w:r>
    </w:p>
    <w:p w14:paraId="367F83AE">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经勘测定界及调查确认，本次拟征地面积37.335亩。其中：莲荷乡莲荷村委会赵家畈组水田27.541亩、建设用地（道路）0.292亩；莲荷分场水田9.21亩、建设用地（道路）0.292亩。</w:t>
      </w:r>
    </w:p>
    <w:p w14:paraId="221648EA">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 xml:space="preserve">四、征地补偿安置及费用支付对象、方式和期限 </w:t>
      </w:r>
    </w:p>
    <w:p w14:paraId="5D12CC07">
      <w:pPr>
        <w:keepNext w:val="0"/>
        <w:keepLines w:val="0"/>
        <w:pageBreakBefore w:val="0"/>
        <w:widowControl w:val="0"/>
        <w:kinsoku/>
        <w:wordWrap w:val="0"/>
        <w:overflowPunct/>
        <w:topLinePunct w:val="0"/>
        <w:autoSpaceDE/>
        <w:autoSpaceDN/>
        <w:bidi w:val="0"/>
        <w:adjustRightInd/>
        <w:snapToGrid/>
        <w:spacing w:line="4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（一）征地补偿安置情况 </w:t>
      </w:r>
    </w:p>
    <w:p w14:paraId="3F5FB2EF">
      <w:pPr>
        <w:keepNext w:val="0"/>
        <w:keepLines w:val="0"/>
        <w:pageBreakBefore w:val="0"/>
        <w:widowControl w:val="0"/>
        <w:kinsoku/>
        <w:wordWrap w:val="0"/>
        <w:overflowPunct/>
        <w:topLinePunct w:val="0"/>
        <w:autoSpaceDE/>
        <w:autoSpaceDN/>
        <w:bidi w:val="0"/>
        <w:adjustRightInd/>
        <w:snapToGrid/>
        <w:spacing w:line="4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1、土地补偿费和安置补助费 </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7"/>
        <w:gridCol w:w="1642"/>
        <w:gridCol w:w="1557"/>
        <w:gridCol w:w="1703"/>
        <w:gridCol w:w="1528"/>
      </w:tblGrid>
      <w:tr w14:paraId="1A467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0" w:type="pct"/>
            <w:noWrap w:val="0"/>
            <w:vAlign w:val="center"/>
          </w:tcPr>
          <w:p w14:paraId="6B9E56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47" w:type="pct"/>
            <w:noWrap w:val="0"/>
            <w:vAlign w:val="center"/>
          </w:tcPr>
          <w:p w14:paraId="7515244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898" w:type="pct"/>
            <w:noWrap w:val="0"/>
            <w:vAlign w:val="center"/>
          </w:tcPr>
          <w:p w14:paraId="6788828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82" w:type="pct"/>
            <w:noWrap w:val="0"/>
            <w:vAlign w:val="center"/>
          </w:tcPr>
          <w:p w14:paraId="5F89EC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(元/亩)</w:t>
            </w:r>
          </w:p>
        </w:tc>
        <w:tc>
          <w:tcPr>
            <w:tcW w:w="881" w:type="pct"/>
            <w:noWrap w:val="0"/>
            <w:vAlign w:val="center"/>
          </w:tcPr>
          <w:p w14:paraId="7F41FD8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46758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restart"/>
            <w:shd w:val="clear" w:color="auto" w:fill="auto"/>
            <w:noWrap w:val="0"/>
            <w:vAlign w:val="center"/>
          </w:tcPr>
          <w:p w14:paraId="76A6A3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莲荷乡莲荷村委会赵家畈组</w:t>
            </w:r>
          </w:p>
        </w:tc>
        <w:tc>
          <w:tcPr>
            <w:tcW w:w="947" w:type="pct"/>
            <w:shd w:val="clear" w:color="auto" w:fill="auto"/>
            <w:noWrap w:val="0"/>
            <w:vAlign w:val="center"/>
          </w:tcPr>
          <w:p w14:paraId="26E0040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898" w:type="pct"/>
            <w:shd w:val="clear" w:color="auto" w:fill="auto"/>
            <w:noWrap w:val="0"/>
            <w:vAlign w:val="center"/>
          </w:tcPr>
          <w:p w14:paraId="1FDB9B1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bidi="ar-SA"/>
              </w:rPr>
              <w:t>27.541</w:t>
            </w:r>
          </w:p>
        </w:tc>
        <w:tc>
          <w:tcPr>
            <w:tcW w:w="982" w:type="pct"/>
            <w:shd w:val="clear" w:color="auto" w:fill="auto"/>
            <w:noWrap w:val="0"/>
            <w:vAlign w:val="center"/>
          </w:tcPr>
          <w:p w14:paraId="47D889E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262D0E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119.253</w:t>
            </w:r>
            <w:r>
              <w:rPr>
                <w:rFonts w:hint="eastAsia" w:ascii="仿宋" w:hAnsi="仿宋" w:eastAsia="仿宋" w:cs="仿宋"/>
                <w:color w:val="000000"/>
                <w:kern w:val="0"/>
                <w:sz w:val="28"/>
                <w:szCs w:val="28"/>
                <w:lang w:val="en-US" w:eastAsia="zh-CN"/>
              </w:rPr>
              <w:fldChar w:fldCharType="end"/>
            </w:r>
          </w:p>
        </w:tc>
      </w:tr>
      <w:tr w14:paraId="7B1BF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tcBorders/>
            <w:shd w:val="clear" w:color="auto" w:fill="auto"/>
            <w:noWrap w:val="0"/>
            <w:vAlign w:val="center"/>
          </w:tcPr>
          <w:p w14:paraId="7B90740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p>
        </w:tc>
        <w:tc>
          <w:tcPr>
            <w:tcW w:w="947" w:type="pct"/>
            <w:shd w:val="clear" w:color="auto" w:fill="auto"/>
            <w:noWrap w:val="0"/>
            <w:vAlign w:val="center"/>
          </w:tcPr>
          <w:p w14:paraId="4C5689B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建设用地</w:t>
            </w:r>
          </w:p>
        </w:tc>
        <w:tc>
          <w:tcPr>
            <w:tcW w:w="898" w:type="pct"/>
            <w:shd w:val="clear" w:color="auto" w:fill="auto"/>
            <w:noWrap w:val="0"/>
            <w:vAlign w:val="center"/>
          </w:tcPr>
          <w:p w14:paraId="209F477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bidi="ar-SA"/>
              </w:rPr>
              <w:t>0.292</w:t>
            </w:r>
          </w:p>
        </w:tc>
        <w:tc>
          <w:tcPr>
            <w:tcW w:w="982" w:type="pct"/>
            <w:shd w:val="clear" w:color="auto" w:fill="auto"/>
            <w:noWrap w:val="0"/>
            <w:vAlign w:val="center"/>
          </w:tcPr>
          <w:p w14:paraId="606FA02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28B216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1.264</w:t>
            </w:r>
            <w:r>
              <w:rPr>
                <w:rFonts w:hint="eastAsia" w:ascii="仿宋" w:hAnsi="仿宋" w:eastAsia="仿宋" w:cs="仿宋"/>
                <w:color w:val="000000"/>
                <w:kern w:val="0"/>
                <w:sz w:val="28"/>
                <w:szCs w:val="28"/>
                <w:lang w:val="en-US" w:eastAsia="zh-CN"/>
              </w:rPr>
              <w:fldChar w:fldCharType="end"/>
            </w:r>
          </w:p>
        </w:tc>
      </w:tr>
      <w:tr w14:paraId="6DC1A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restart"/>
            <w:noWrap w:val="0"/>
            <w:vAlign w:val="center"/>
          </w:tcPr>
          <w:p w14:paraId="285AE897">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莲荷乡莲荷分场</w:t>
            </w:r>
          </w:p>
        </w:tc>
        <w:tc>
          <w:tcPr>
            <w:tcW w:w="947" w:type="pct"/>
            <w:shd w:val="clear" w:color="auto" w:fill="auto"/>
            <w:noWrap w:val="0"/>
            <w:vAlign w:val="center"/>
          </w:tcPr>
          <w:p w14:paraId="7F504E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898" w:type="pct"/>
            <w:shd w:val="clear" w:color="auto" w:fill="auto"/>
            <w:noWrap w:val="0"/>
            <w:vAlign w:val="center"/>
          </w:tcPr>
          <w:p w14:paraId="79B75CC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bidi="ar-SA"/>
              </w:rPr>
              <w:t>9.21</w:t>
            </w:r>
          </w:p>
        </w:tc>
        <w:tc>
          <w:tcPr>
            <w:tcW w:w="982" w:type="pct"/>
            <w:shd w:val="clear" w:color="auto" w:fill="auto"/>
            <w:noWrap w:val="0"/>
            <w:vAlign w:val="center"/>
          </w:tcPr>
          <w:p w14:paraId="7EA8BAB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14C4B04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39.879</w:t>
            </w:r>
            <w:r>
              <w:rPr>
                <w:rFonts w:hint="eastAsia" w:ascii="仿宋" w:hAnsi="仿宋" w:eastAsia="仿宋" w:cs="仿宋"/>
                <w:color w:val="000000"/>
                <w:kern w:val="0"/>
                <w:sz w:val="28"/>
                <w:szCs w:val="28"/>
                <w:lang w:val="en-US" w:eastAsia="zh-CN"/>
              </w:rPr>
              <w:fldChar w:fldCharType="end"/>
            </w:r>
          </w:p>
        </w:tc>
      </w:tr>
      <w:tr w14:paraId="45B2D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vMerge w:val="continue"/>
            <w:tcBorders/>
            <w:noWrap w:val="0"/>
            <w:vAlign w:val="center"/>
          </w:tcPr>
          <w:p w14:paraId="271DAE16">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7" w:type="pct"/>
            <w:shd w:val="clear" w:color="auto" w:fill="auto"/>
            <w:noWrap w:val="0"/>
            <w:vAlign w:val="center"/>
          </w:tcPr>
          <w:p w14:paraId="2D1CA6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建设用地</w:t>
            </w:r>
          </w:p>
        </w:tc>
        <w:tc>
          <w:tcPr>
            <w:tcW w:w="898" w:type="pct"/>
            <w:shd w:val="clear" w:color="auto" w:fill="auto"/>
            <w:noWrap w:val="0"/>
            <w:vAlign w:val="center"/>
          </w:tcPr>
          <w:p w14:paraId="6F33461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bidi="ar-SA"/>
              </w:rPr>
              <w:t>0.292</w:t>
            </w:r>
          </w:p>
        </w:tc>
        <w:tc>
          <w:tcPr>
            <w:tcW w:w="982" w:type="pct"/>
            <w:shd w:val="clear" w:color="auto" w:fill="auto"/>
            <w:noWrap w:val="0"/>
            <w:vAlign w:val="center"/>
          </w:tcPr>
          <w:p w14:paraId="58D2E1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4.33</w:t>
            </w:r>
          </w:p>
        </w:tc>
        <w:tc>
          <w:tcPr>
            <w:tcW w:w="881" w:type="pct"/>
            <w:shd w:val="clear" w:color="auto" w:fill="auto"/>
            <w:noWrap w:val="0"/>
            <w:vAlign w:val="center"/>
          </w:tcPr>
          <w:p w14:paraId="2ACDACF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1.264</w:t>
            </w:r>
            <w:r>
              <w:rPr>
                <w:rFonts w:hint="eastAsia" w:ascii="仿宋" w:hAnsi="仿宋" w:eastAsia="仿宋" w:cs="仿宋"/>
                <w:color w:val="000000"/>
                <w:kern w:val="0"/>
                <w:sz w:val="28"/>
                <w:szCs w:val="28"/>
                <w:lang w:val="en-US" w:eastAsia="zh-CN"/>
              </w:rPr>
              <w:fldChar w:fldCharType="end"/>
            </w:r>
          </w:p>
        </w:tc>
      </w:tr>
      <w:tr w14:paraId="44DC9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1B920C60">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898" w:type="pct"/>
            <w:shd w:val="clear" w:color="auto" w:fill="auto"/>
            <w:noWrap w:val="0"/>
            <w:vAlign w:val="center"/>
          </w:tcPr>
          <w:p w14:paraId="1EAF2279">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37.335</w:t>
            </w:r>
            <w:r>
              <w:rPr>
                <w:rFonts w:hint="eastAsia" w:ascii="仿宋_GB2312" w:hAnsi="仿宋_GB2312" w:eastAsia="仿宋_GB2312" w:cs="仿宋_GB2312"/>
                <w:b/>
                <w:bCs/>
                <w:color w:val="000000"/>
                <w:kern w:val="0"/>
                <w:sz w:val="28"/>
                <w:szCs w:val="28"/>
                <w:lang w:val="en-US" w:eastAsia="zh-CN"/>
              </w:rPr>
              <w:fldChar w:fldCharType="end"/>
            </w:r>
          </w:p>
        </w:tc>
        <w:tc>
          <w:tcPr>
            <w:tcW w:w="982" w:type="pct"/>
            <w:noWrap w:val="0"/>
            <w:vAlign w:val="center"/>
          </w:tcPr>
          <w:p w14:paraId="50083851">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shd w:val="clear" w:color="auto" w:fill="auto"/>
            <w:noWrap w:val="0"/>
            <w:vAlign w:val="center"/>
          </w:tcPr>
          <w:p w14:paraId="0CC09995">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161.660</w:t>
            </w:r>
            <w:r>
              <w:rPr>
                <w:rFonts w:hint="eastAsia" w:ascii="仿宋_GB2312" w:hAnsi="仿宋_GB2312" w:eastAsia="仿宋_GB2312" w:cs="仿宋_GB2312"/>
                <w:b/>
                <w:bCs/>
                <w:color w:val="000000"/>
                <w:kern w:val="0"/>
                <w:sz w:val="28"/>
                <w:szCs w:val="28"/>
                <w:lang w:val="en-US" w:eastAsia="zh-CN"/>
              </w:rPr>
              <w:fldChar w:fldCharType="end"/>
            </w:r>
          </w:p>
        </w:tc>
      </w:tr>
    </w:tbl>
    <w:p w14:paraId="45BD27D3">
      <w:pPr>
        <w:keepNext w:val="0"/>
        <w:keepLines w:val="0"/>
        <w:pageBreakBefore w:val="0"/>
        <w:widowControl w:val="0"/>
        <w:numPr>
          <w:ilvl w:val="0"/>
          <w:numId w:val="0"/>
        </w:numPr>
        <w:kinsoku/>
        <w:wordWrap w:val="0"/>
        <w:overflowPunct/>
        <w:topLinePunct w:val="0"/>
        <w:autoSpaceDE/>
        <w:autoSpaceDN/>
        <w:bidi w:val="0"/>
        <w:adjustRightInd/>
        <w:snapToGrid/>
        <w:spacing w:line="360" w:lineRule="exact"/>
        <w:ind w:left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2、地上青苗补偿费</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658"/>
        <w:gridCol w:w="1609"/>
        <w:gridCol w:w="1651"/>
        <w:gridCol w:w="1528"/>
      </w:tblGrid>
      <w:tr w14:paraId="2C097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81" w:type="pct"/>
            <w:noWrap w:val="0"/>
            <w:vAlign w:val="center"/>
          </w:tcPr>
          <w:p w14:paraId="6B08D0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56" w:type="pct"/>
            <w:noWrap w:val="0"/>
            <w:vAlign w:val="center"/>
          </w:tcPr>
          <w:p w14:paraId="3E8E1D8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928" w:type="pct"/>
            <w:noWrap w:val="0"/>
            <w:vAlign w:val="center"/>
          </w:tcPr>
          <w:p w14:paraId="434C6C2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52" w:type="pct"/>
            <w:noWrap w:val="0"/>
            <w:vAlign w:val="center"/>
          </w:tcPr>
          <w:p w14:paraId="149AAE8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(元/亩)</w:t>
            </w:r>
          </w:p>
        </w:tc>
        <w:tc>
          <w:tcPr>
            <w:tcW w:w="881" w:type="pct"/>
            <w:noWrap w:val="0"/>
            <w:vAlign w:val="center"/>
          </w:tcPr>
          <w:p w14:paraId="60E120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05E9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shd w:val="clear" w:color="auto" w:fill="auto"/>
            <w:noWrap w:val="0"/>
            <w:vAlign w:val="center"/>
          </w:tcPr>
          <w:p w14:paraId="031D0A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莲荷乡莲荷村委会赵家畈组</w:t>
            </w:r>
          </w:p>
        </w:tc>
        <w:tc>
          <w:tcPr>
            <w:tcW w:w="956" w:type="pct"/>
            <w:shd w:val="clear" w:color="auto" w:fill="auto"/>
            <w:noWrap w:val="0"/>
            <w:vAlign w:val="center"/>
          </w:tcPr>
          <w:p w14:paraId="2FAA4EA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445477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bidi="ar-SA"/>
              </w:rPr>
              <w:t>27.541</w:t>
            </w:r>
          </w:p>
        </w:tc>
        <w:tc>
          <w:tcPr>
            <w:tcW w:w="952" w:type="pct"/>
            <w:shd w:val="clear" w:color="auto" w:fill="auto"/>
            <w:noWrap w:val="0"/>
            <w:vAlign w:val="center"/>
          </w:tcPr>
          <w:p w14:paraId="5B7FD1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AE291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3.305</w:t>
            </w:r>
            <w:r>
              <w:rPr>
                <w:rFonts w:hint="eastAsia" w:ascii="仿宋" w:hAnsi="仿宋" w:eastAsia="仿宋" w:cs="仿宋"/>
                <w:color w:val="000000"/>
                <w:kern w:val="0"/>
                <w:sz w:val="28"/>
                <w:szCs w:val="28"/>
                <w:lang w:val="en-US" w:eastAsia="zh-CN"/>
              </w:rPr>
              <w:fldChar w:fldCharType="end"/>
            </w:r>
          </w:p>
        </w:tc>
      </w:tr>
      <w:tr w14:paraId="67A96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noWrap w:val="0"/>
            <w:vAlign w:val="center"/>
          </w:tcPr>
          <w:p w14:paraId="2E038CA7">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莲荷乡莲荷分场</w:t>
            </w:r>
          </w:p>
        </w:tc>
        <w:tc>
          <w:tcPr>
            <w:tcW w:w="956" w:type="pct"/>
            <w:shd w:val="clear" w:color="auto" w:fill="auto"/>
            <w:noWrap w:val="0"/>
            <w:vAlign w:val="center"/>
          </w:tcPr>
          <w:p w14:paraId="011B585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6A9197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bidi="ar-SA"/>
              </w:rPr>
              <w:t>9.21</w:t>
            </w:r>
          </w:p>
        </w:tc>
        <w:tc>
          <w:tcPr>
            <w:tcW w:w="952" w:type="pct"/>
            <w:shd w:val="clear" w:color="auto" w:fill="auto"/>
            <w:noWrap w:val="0"/>
            <w:vAlign w:val="center"/>
          </w:tcPr>
          <w:p w14:paraId="0B8E65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18FBFD7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1.105</w:t>
            </w:r>
            <w:r>
              <w:rPr>
                <w:rFonts w:hint="eastAsia" w:ascii="仿宋" w:hAnsi="仿宋" w:eastAsia="仿宋" w:cs="仿宋"/>
                <w:color w:val="000000"/>
                <w:kern w:val="0"/>
                <w:sz w:val="28"/>
                <w:szCs w:val="28"/>
                <w:lang w:val="en-US" w:eastAsia="zh-CN"/>
              </w:rPr>
              <w:fldChar w:fldCharType="end"/>
            </w:r>
          </w:p>
        </w:tc>
      </w:tr>
      <w:tr w14:paraId="6E506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1A98FBA9">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928" w:type="pct"/>
            <w:shd w:val="clear" w:color="auto" w:fill="auto"/>
            <w:noWrap w:val="0"/>
            <w:vAlign w:val="center"/>
          </w:tcPr>
          <w:p w14:paraId="332A51D5">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36.751</w:t>
            </w:r>
            <w:r>
              <w:rPr>
                <w:rFonts w:hint="eastAsia" w:ascii="仿宋_GB2312" w:hAnsi="仿宋_GB2312" w:eastAsia="仿宋_GB2312" w:cs="仿宋_GB2312"/>
                <w:b/>
                <w:bCs/>
                <w:color w:val="000000"/>
                <w:kern w:val="0"/>
                <w:sz w:val="28"/>
                <w:szCs w:val="28"/>
                <w:lang w:val="en-US" w:eastAsia="zh-CN"/>
              </w:rPr>
              <w:fldChar w:fldCharType="end"/>
            </w:r>
          </w:p>
        </w:tc>
        <w:tc>
          <w:tcPr>
            <w:tcW w:w="952" w:type="pct"/>
            <w:noWrap w:val="0"/>
            <w:vAlign w:val="center"/>
          </w:tcPr>
          <w:p w14:paraId="618F6948">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noWrap w:val="0"/>
            <w:vAlign w:val="center"/>
          </w:tcPr>
          <w:p w14:paraId="54345E45">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4.410</w:t>
            </w:r>
            <w:r>
              <w:rPr>
                <w:rFonts w:hint="eastAsia" w:ascii="仿宋_GB2312" w:hAnsi="仿宋_GB2312" w:eastAsia="仿宋_GB2312" w:cs="仿宋_GB2312"/>
                <w:b/>
                <w:bCs/>
                <w:color w:val="000000"/>
                <w:kern w:val="0"/>
                <w:sz w:val="28"/>
                <w:szCs w:val="28"/>
                <w:lang w:val="en-US" w:eastAsia="zh-CN"/>
              </w:rPr>
              <w:fldChar w:fldCharType="end"/>
            </w:r>
          </w:p>
        </w:tc>
      </w:tr>
    </w:tbl>
    <w:p w14:paraId="6C8A67A5">
      <w:pPr>
        <w:keepNext w:val="0"/>
        <w:keepLines w:val="0"/>
        <w:pageBreakBefore w:val="0"/>
        <w:widowControl w:val="0"/>
        <w:kinsoku/>
        <w:wordWrap w:val="0"/>
        <w:overflowPunct/>
        <w:topLinePunct w:val="0"/>
        <w:autoSpaceDE/>
        <w:autoSpaceDN/>
        <w:bidi w:val="0"/>
        <w:adjustRightInd/>
        <w:snapToGrid/>
        <w:spacing w:line="4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两项费用总计人民币大写：</w:t>
      </w:r>
      <w:r>
        <w:rPr>
          <w:rFonts w:hint="eastAsia" w:ascii="仿宋_GB2312" w:hAnsi="仿宋_GB2312" w:eastAsia="仿宋_GB2312" w:cs="仿宋_GB2312"/>
          <w:b/>
          <w:bCs/>
          <w:sz w:val="32"/>
          <w:szCs w:val="32"/>
          <w:lang w:val="en-US" w:eastAsia="zh-CN"/>
        </w:rPr>
        <w:fldChar w:fldCharType="begin"/>
      </w:r>
      <w:r>
        <w:rPr>
          <w:rFonts w:hint="eastAsia" w:ascii="仿宋_GB2312" w:hAnsi="仿宋_GB2312" w:eastAsia="仿宋_GB2312" w:cs="仿宋_GB2312"/>
          <w:b/>
          <w:bCs/>
          <w:sz w:val="32"/>
          <w:szCs w:val="32"/>
          <w:lang w:val="en-US" w:eastAsia="zh-CN"/>
        </w:rPr>
        <w:instrText xml:space="preserve"> = 1660700 \* CHINESENUM4 \* MERGEFORMAT </w:instrText>
      </w:r>
      <w:r>
        <w:rPr>
          <w:rFonts w:hint="eastAsia" w:ascii="仿宋_GB2312" w:hAnsi="仿宋_GB2312" w:eastAsia="仿宋_GB2312" w:cs="仿宋_GB2312"/>
          <w:b/>
          <w:bCs/>
          <w:sz w:val="32"/>
          <w:szCs w:val="32"/>
          <w:lang w:val="en-US" w:eastAsia="zh-CN"/>
        </w:rPr>
        <w:fldChar w:fldCharType="separate"/>
      </w:r>
      <w:r>
        <w:rPr>
          <w:rFonts w:hint="eastAsia" w:ascii="仿宋_GB2312" w:hAnsi="仿宋_GB2312" w:eastAsia="仿宋_GB2312" w:cs="仿宋_GB2312"/>
          <w:b/>
          <w:bCs/>
          <w:sz w:val="32"/>
          <w:szCs w:val="32"/>
          <w:lang w:val="en-US" w:eastAsia="zh-CN"/>
        </w:rPr>
        <w:t>壹佰陆拾陆万零柒佰元整</w:t>
      </w:r>
      <w:r>
        <w:rPr>
          <w:rFonts w:hint="eastAsia" w:ascii="仿宋_GB2312" w:hAnsi="仿宋_GB2312" w:eastAsia="仿宋_GB2312" w:cs="仿宋_GB2312"/>
          <w:b/>
          <w:bCs/>
          <w:sz w:val="32"/>
          <w:szCs w:val="32"/>
          <w:lang w:val="en-US" w:eastAsia="zh-CN"/>
        </w:rPr>
        <w:fldChar w:fldCharType="end"/>
      </w:r>
      <w:r>
        <w:rPr>
          <w:rFonts w:hint="eastAsia" w:ascii="仿宋_GB2312" w:hAnsi="仿宋_GB2312" w:eastAsia="仿宋_GB2312" w:cs="仿宋_GB2312"/>
          <w:b/>
          <w:bCs/>
          <w:sz w:val="32"/>
          <w:szCs w:val="32"/>
          <w:lang w:val="en-US" w:eastAsia="zh-CN"/>
        </w:rPr>
        <w:t>（小写：166.07万元）。</w:t>
      </w:r>
    </w:p>
    <w:p w14:paraId="2F83773A">
      <w:pPr>
        <w:keepNext w:val="0"/>
        <w:keepLines w:val="0"/>
        <w:pageBreakBefore w:val="0"/>
        <w:widowControl w:val="0"/>
        <w:kinsoku/>
        <w:wordWrap w:val="0"/>
        <w:overflowPunct/>
        <w:topLinePunct w:val="0"/>
        <w:autoSpaceDE/>
        <w:autoSpaceDN/>
        <w:bidi w:val="0"/>
        <w:adjustRightInd/>
        <w:snapToGrid/>
        <w:spacing w:line="46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（二）支付对象</w:t>
      </w:r>
      <w:r>
        <w:rPr>
          <w:rFonts w:hint="eastAsia" w:ascii="仿宋" w:hAnsi="仿宋" w:eastAsia="仿宋" w:cs="仿宋"/>
          <w:sz w:val="30"/>
          <w:szCs w:val="30"/>
          <w:lang w:val="en-US" w:eastAsia="zh-CN"/>
        </w:rPr>
        <w:t xml:space="preserve"> </w:t>
      </w:r>
    </w:p>
    <w:p w14:paraId="0DAD8EC3">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1、土地补偿费、安置补助费足额支付给被征地农村集体经济组织，被征地农村集体经济组织根据分配方案进行分配。 </w:t>
      </w:r>
    </w:p>
    <w:p w14:paraId="1A08BD56">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2、青苗及树木等属于拟被征地农村集体经济组织所有的，其补偿费支付给拟被征地农村集体经济组织；属于个人或承包经营者所有的，其补偿费支付给个人或承包经营者。 </w:t>
      </w:r>
    </w:p>
    <w:p w14:paraId="22DA5C00">
      <w:pPr>
        <w:keepNext w:val="0"/>
        <w:keepLines w:val="0"/>
        <w:pageBreakBefore w:val="0"/>
        <w:widowControl w:val="0"/>
        <w:kinsoku/>
        <w:wordWrap w:val="0"/>
        <w:overflowPunct/>
        <w:topLinePunct w:val="0"/>
        <w:autoSpaceDE/>
        <w:autoSpaceDN/>
        <w:bidi w:val="0"/>
        <w:adjustRightInd/>
        <w:snapToGrid/>
        <w:spacing w:line="46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（三）支付方式</w:t>
      </w:r>
      <w:r>
        <w:rPr>
          <w:rFonts w:hint="eastAsia" w:ascii="仿宋" w:hAnsi="仿宋" w:eastAsia="仿宋" w:cs="仿宋"/>
          <w:sz w:val="30"/>
          <w:szCs w:val="30"/>
          <w:lang w:val="en-US" w:eastAsia="zh-CN"/>
        </w:rPr>
        <w:t xml:space="preserve"> </w:t>
      </w:r>
    </w:p>
    <w:p w14:paraId="4D2F08A6">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所有费用以转账方式线上支付。</w:t>
      </w:r>
      <w:r>
        <w:rPr>
          <w:rFonts w:hint="eastAsia" w:ascii="仿宋" w:hAnsi="仿宋" w:eastAsia="仿宋" w:cs="仿宋"/>
          <w:sz w:val="30"/>
          <w:szCs w:val="30"/>
          <w:lang w:val="en-US" w:eastAsia="zh-CN"/>
        </w:rPr>
        <w:t xml:space="preserve"> </w:t>
      </w:r>
    </w:p>
    <w:p w14:paraId="3B7D8A4D">
      <w:pPr>
        <w:keepNext w:val="0"/>
        <w:keepLines w:val="0"/>
        <w:pageBreakBefore w:val="0"/>
        <w:widowControl w:val="0"/>
        <w:kinsoku/>
        <w:wordWrap w:val="0"/>
        <w:overflowPunct/>
        <w:topLinePunct w:val="0"/>
        <w:autoSpaceDE/>
        <w:autoSpaceDN/>
        <w:bidi w:val="0"/>
        <w:adjustRightInd/>
        <w:snapToGrid/>
        <w:spacing w:line="46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（四）支付期限</w:t>
      </w:r>
      <w:r>
        <w:rPr>
          <w:rFonts w:hint="eastAsia" w:ascii="仿宋" w:hAnsi="仿宋" w:eastAsia="仿宋" w:cs="仿宋"/>
          <w:sz w:val="30"/>
          <w:szCs w:val="30"/>
          <w:lang w:val="en-US" w:eastAsia="zh-CN"/>
        </w:rPr>
        <w:t xml:space="preserve"> </w:t>
      </w:r>
    </w:p>
    <w:p w14:paraId="4185D085">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上述费用应当在征收土地公告发布之日起60日内足额支付。对个别未达成征地补偿安置协议的，支付期限自征收土地补偿安置决定作出之日起计算，即作出补偿安置决定之日起60日之内支付。</w:t>
      </w:r>
    </w:p>
    <w:p w14:paraId="54325AD1">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其他安置方式的期限按协议约定执行。</w:t>
      </w:r>
    </w:p>
    <w:p w14:paraId="585B31B3">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五、公告期限</w:t>
      </w:r>
      <w:r>
        <w:rPr>
          <w:rFonts w:hint="eastAsia" w:ascii="仿宋" w:hAnsi="仿宋" w:eastAsia="仿宋" w:cs="仿宋"/>
          <w:sz w:val="30"/>
          <w:szCs w:val="30"/>
          <w:lang w:val="en-US" w:eastAsia="zh-CN"/>
        </w:rPr>
        <w:t xml:space="preserve"> </w:t>
      </w:r>
    </w:p>
    <w:p w14:paraId="7F80C015">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本公告期限自2024年12月25日至2025年1月26日。</w:t>
      </w:r>
      <w:r>
        <w:rPr>
          <w:rFonts w:hint="eastAsia" w:ascii="仿宋" w:hAnsi="仿宋" w:eastAsia="仿宋" w:cs="仿宋"/>
          <w:sz w:val="30"/>
          <w:szCs w:val="30"/>
          <w:lang w:val="en-US" w:eastAsia="zh-CN"/>
        </w:rPr>
        <w:t xml:space="preserve"> </w:t>
      </w:r>
    </w:p>
    <w:p w14:paraId="5BEFD9A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六、补偿登记 </w:t>
      </w:r>
    </w:p>
    <w:p w14:paraId="6F9DE4E0">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后，被征收（收回）土地所有权人、使用权人请于2025年1月26日前，持不动产权属证明材料前往横峰县自然资源局三楼土地征收服务股办理补偿登记（或书面委托他人办理补偿登记），未在规定期限内办理补偿登记的，相关信息按照土地现状调查公示结果确定。</w:t>
      </w:r>
    </w:p>
    <w:p w14:paraId="0F4B76F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七、听证事项 </w:t>
      </w:r>
    </w:p>
    <w:p w14:paraId="7DB0F527">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按照《自然资源听证规定》规定，拟被征地农村集体经济组织及成员应在收到听证告知书之日起5个工作日内提出书面申请</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逾期未提出的</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视为放弃听证。超半数农村集体经济组织成员对方案提出异议的，横峰县人民政府将依法组织召开听证会，相关事项另行通知。</w:t>
      </w:r>
    </w:p>
    <w:p w14:paraId="2195E16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八、异议反馈与处理 </w:t>
      </w:r>
    </w:p>
    <w:p w14:paraId="692361AC">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lang w:val="en-US" w:eastAsia="zh-CN"/>
        </w:rPr>
        <w:t>拟征收（收回）土地范围内的土地所有权人、使用权人对补偿安置方案有异议的，在本公告期内提出。我县人民政府将结合异议反馈及听证情况，适时修改补偿安置方案并再次公告。</w:t>
      </w:r>
    </w:p>
    <w:p w14:paraId="4AFAB887">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bookmarkStart w:id="0" w:name="_GoBack"/>
      <w:bookmarkEnd w:id="0"/>
    </w:p>
    <w:p w14:paraId="65A1DB87">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联系单位：横峰县自然资源局</w:t>
      </w:r>
    </w:p>
    <w:p w14:paraId="02047403">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联系地点：横峰县自然资源局三楼</w:t>
      </w:r>
      <w:r>
        <w:rPr>
          <w:rFonts w:hint="eastAsia" w:ascii="仿宋_GB2312" w:hAnsi="仿宋_GB2312" w:eastAsia="仿宋_GB2312" w:cs="仿宋_GB2312"/>
          <w:b w:val="0"/>
          <w:i w:val="0"/>
          <w:caps w:val="0"/>
          <w:spacing w:val="0"/>
          <w:w w:val="100"/>
          <w:sz w:val="32"/>
          <w:szCs w:val="32"/>
          <w:highlight w:val="none"/>
          <w:lang w:val="en-US" w:eastAsia="zh-CN"/>
        </w:rPr>
        <w:t>土地征收服务股</w:t>
      </w:r>
      <w:r>
        <w:rPr>
          <w:rFonts w:hint="eastAsia" w:ascii="仿宋_GB2312" w:hAnsi="仿宋_GB2312" w:eastAsia="仿宋_GB2312" w:cs="仿宋_GB2312"/>
          <w:sz w:val="32"/>
          <w:szCs w:val="32"/>
          <w:lang w:val="en-US" w:eastAsia="zh-CN"/>
        </w:rPr>
        <w:t xml:space="preserve"> </w:t>
      </w:r>
    </w:p>
    <w:p w14:paraId="6C9AB591">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联系人员：潘斌斌  </w:t>
      </w:r>
    </w:p>
    <w:p w14:paraId="1F6E65D9">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联系电话：0793-5503637 </w:t>
      </w:r>
    </w:p>
    <w:p w14:paraId="0621A7C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仿宋_GB2312" w:hAnsi="仿宋_GB2312" w:eastAsia="仿宋_GB2312" w:cs="仿宋_GB2312"/>
          <w:sz w:val="32"/>
          <w:szCs w:val="32"/>
          <w:lang w:val="en-US" w:eastAsia="zh-CN"/>
        </w:rPr>
      </w:pPr>
    </w:p>
    <w:p w14:paraId="7566726B">
      <w:pPr>
        <w:pStyle w:val="2"/>
        <w:rPr>
          <w:rFonts w:hint="eastAsia"/>
          <w:lang w:val="en-US" w:eastAsia="zh-CN"/>
        </w:rPr>
      </w:pPr>
    </w:p>
    <w:p w14:paraId="07C1F9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仿宋_GB2312" w:hAnsi="仿宋_GB2312" w:eastAsia="仿宋_GB2312" w:cs="仿宋_GB2312"/>
          <w:sz w:val="32"/>
          <w:szCs w:val="32"/>
          <w:lang w:val="en-US" w:eastAsia="zh-CN"/>
        </w:rPr>
      </w:pPr>
    </w:p>
    <w:p w14:paraId="2D100882">
      <w:pPr>
        <w:keepNext w:val="0"/>
        <w:keepLines w:val="0"/>
        <w:pageBreakBefore w:val="0"/>
        <w:widowControl w:val="0"/>
        <w:kinsoku/>
        <w:wordWrap w:val="0"/>
        <w:overflowPunct/>
        <w:topLinePunct w:val="0"/>
        <w:autoSpaceDE/>
        <w:autoSpaceDN/>
        <w:bidi w:val="0"/>
        <w:adjustRightInd/>
        <w:snapToGrid/>
        <w:spacing w:line="44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横峰县人民政府</w:t>
      </w:r>
    </w:p>
    <w:p w14:paraId="6ADE4552">
      <w:pPr>
        <w:keepNext w:val="0"/>
        <w:keepLines w:val="0"/>
        <w:pageBreakBefore w:val="0"/>
        <w:widowControl w:val="0"/>
        <w:kinsoku/>
        <w:wordWrap w:val="0"/>
        <w:overflowPunct/>
        <w:topLinePunct w:val="0"/>
        <w:autoSpaceDE/>
        <w:autoSpaceDN/>
        <w:bidi w:val="0"/>
        <w:adjustRightInd/>
        <w:snapToGrid/>
        <w:spacing w:line="44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2024年12月25日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60470F10"/>
    <w:rsid w:val="01016C5E"/>
    <w:rsid w:val="010303B2"/>
    <w:rsid w:val="015C1DBB"/>
    <w:rsid w:val="017879F2"/>
    <w:rsid w:val="02395789"/>
    <w:rsid w:val="02874FB9"/>
    <w:rsid w:val="028B69DC"/>
    <w:rsid w:val="03600692"/>
    <w:rsid w:val="038B0220"/>
    <w:rsid w:val="038D65C5"/>
    <w:rsid w:val="03B24640"/>
    <w:rsid w:val="03D2113A"/>
    <w:rsid w:val="04113803"/>
    <w:rsid w:val="047D0461"/>
    <w:rsid w:val="052434C5"/>
    <w:rsid w:val="05D20F9F"/>
    <w:rsid w:val="06F640F2"/>
    <w:rsid w:val="07EC0192"/>
    <w:rsid w:val="082569A6"/>
    <w:rsid w:val="083572E7"/>
    <w:rsid w:val="083D5469"/>
    <w:rsid w:val="083E6046"/>
    <w:rsid w:val="08D06772"/>
    <w:rsid w:val="098F41B9"/>
    <w:rsid w:val="099E740A"/>
    <w:rsid w:val="0A176D34"/>
    <w:rsid w:val="0A5A7609"/>
    <w:rsid w:val="0AE20526"/>
    <w:rsid w:val="0AE5100F"/>
    <w:rsid w:val="0D440DD0"/>
    <w:rsid w:val="0D8516D3"/>
    <w:rsid w:val="0DC33448"/>
    <w:rsid w:val="0EDD3455"/>
    <w:rsid w:val="0F126C0C"/>
    <w:rsid w:val="0FD039E2"/>
    <w:rsid w:val="119304A3"/>
    <w:rsid w:val="12162CEE"/>
    <w:rsid w:val="12CD545B"/>
    <w:rsid w:val="130342EC"/>
    <w:rsid w:val="14350A22"/>
    <w:rsid w:val="14776457"/>
    <w:rsid w:val="14C005B3"/>
    <w:rsid w:val="14EA7E7C"/>
    <w:rsid w:val="15391795"/>
    <w:rsid w:val="1547155E"/>
    <w:rsid w:val="158F525C"/>
    <w:rsid w:val="16C27DDC"/>
    <w:rsid w:val="16DC0E58"/>
    <w:rsid w:val="16F42ED4"/>
    <w:rsid w:val="17B230A8"/>
    <w:rsid w:val="187B264F"/>
    <w:rsid w:val="18FD5071"/>
    <w:rsid w:val="19067C30"/>
    <w:rsid w:val="1912647A"/>
    <w:rsid w:val="19B853DC"/>
    <w:rsid w:val="19C5386D"/>
    <w:rsid w:val="19E341FE"/>
    <w:rsid w:val="19FB0CBC"/>
    <w:rsid w:val="1AB86BAD"/>
    <w:rsid w:val="1B2304CB"/>
    <w:rsid w:val="1B2F454E"/>
    <w:rsid w:val="1C80527A"/>
    <w:rsid w:val="1D322C47"/>
    <w:rsid w:val="1E1D5DCD"/>
    <w:rsid w:val="1EBE15AE"/>
    <w:rsid w:val="1EFF4DAB"/>
    <w:rsid w:val="1F217892"/>
    <w:rsid w:val="1FDB053D"/>
    <w:rsid w:val="20C235DC"/>
    <w:rsid w:val="20F72125"/>
    <w:rsid w:val="213045FF"/>
    <w:rsid w:val="21A52FF1"/>
    <w:rsid w:val="224C4164"/>
    <w:rsid w:val="22D036B1"/>
    <w:rsid w:val="246E1A6F"/>
    <w:rsid w:val="25C31322"/>
    <w:rsid w:val="2620749E"/>
    <w:rsid w:val="26521066"/>
    <w:rsid w:val="2670660D"/>
    <w:rsid w:val="27B77ACB"/>
    <w:rsid w:val="27D447CC"/>
    <w:rsid w:val="28687CA5"/>
    <w:rsid w:val="29060038"/>
    <w:rsid w:val="2A267AF0"/>
    <w:rsid w:val="2AAF1221"/>
    <w:rsid w:val="2AD42833"/>
    <w:rsid w:val="2AE84108"/>
    <w:rsid w:val="2B501AAD"/>
    <w:rsid w:val="2BD24109"/>
    <w:rsid w:val="2C5524AE"/>
    <w:rsid w:val="2CD9361A"/>
    <w:rsid w:val="2D412A32"/>
    <w:rsid w:val="2E783D1C"/>
    <w:rsid w:val="30362375"/>
    <w:rsid w:val="323B14D0"/>
    <w:rsid w:val="34C71A69"/>
    <w:rsid w:val="35A12C80"/>
    <w:rsid w:val="35B84243"/>
    <w:rsid w:val="35BE3ECD"/>
    <w:rsid w:val="35DB5480"/>
    <w:rsid w:val="369861A9"/>
    <w:rsid w:val="36FB3CC0"/>
    <w:rsid w:val="388C0020"/>
    <w:rsid w:val="394202A3"/>
    <w:rsid w:val="39574993"/>
    <w:rsid w:val="3AB44863"/>
    <w:rsid w:val="3AD357AE"/>
    <w:rsid w:val="3C70501D"/>
    <w:rsid w:val="3DB97672"/>
    <w:rsid w:val="3F592D16"/>
    <w:rsid w:val="3F8118BA"/>
    <w:rsid w:val="3FBA36AA"/>
    <w:rsid w:val="418436DD"/>
    <w:rsid w:val="419E729D"/>
    <w:rsid w:val="41BE2340"/>
    <w:rsid w:val="42385237"/>
    <w:rsid w:val="42A82437"/>
    <w:rsid w:val="42CD5832"/>
    <w:rsid w:val="43CD398E"/>
    <w:rsid w:val="44A54CD3"/>
    <w:rsid w:val="450242C7"/>
    <w:rsid w:val="45196D07"/>
    <w:rsid w:val="461344EF"/>
    <w:rsid w:val="465D6208"/>
    <w:rsid w:val="46AA6361"/>
    <w:rsid w:val="48ED5F94"/>
    <w:rsid w:val="49AE42D6"/>
    <w:rsid w:val="4A496829"/>
    <w:rsid w:val="4AA948CD"/>
    <w:rsid w:val="4CDD2406"/>
    <w:rsid w:val="4CDE41D7"/>
    <w:rsid w:val="4D082A36"/>
    <w:rsid w:val="4D813DEC"/>
    <w:rsid w:val="4D8C367F"/>
    <w:rsid w:val="4DBF22D5"/>
    <w:rsid w:val="4E132C4A"/>
    <w:rsid w:val="4E6D14FD"/>
    <w:rsid w:val="500F06C5"/>
    <w:rsid w:val="51902427"/>
    <w:rsid w:val="51A12A32"/>
    <w:rsid w:val="52707792"/>
    <w:rsid w:val="53782433"/>
    <w:rsid w:val="53CC56BF"/>
    <w:rsid w:val="53D5318D"/>
    <w:rsid w:val="56271E64"/>
    <w:rsid w:val="562E5554"/>
    <w:rsid w:val="56AA4A2A"/>
    <w:rsid w:val="57494ADC"/>
    <w:rsid w:val="57820FDB"/>
    <w:rsid w:val="58430E84"/>
    <w:rsid w:val="585A2BD4"/>
    <w:rsid w:val="58AA7B94"/>
    <w:rsid w:val="5A3F1475"/>
    <w:rsid w:val="5A594F7D"/>
    <w:rsid w:val="5A941F30"/>
    <w:rsid w:val="5CC05FB8"/>
    <w:rsid w:val="60470F10"/>
    <w:rsid w:val="60BA3B62"/>
    <w:rsid w:val="60C80807"/>
    <w:rsid w:val="614F61F1"/>
    <w:rsid w:val="618E266B"/>
    <w:rsid w:val="61A8173A"/>
    <w:rsid w:val="63484D33"/>
    <w:rsid w:val="63495A8C"/>
    <w:rsid w:val="63DA2CBD"/>
    <w:rsid w:val="63EF4DCA"/>
    <w:rsid w:val="63FF6E5F"/>
    <w:rsid w:val="647A1AC0"/>
    <w:rsid w:val="64FB496B"/>
    <w:rsid w:val="663675D9"/>
    <w:rsid w:val="667473F9"/>
    <w:rsid w:val="66902879"/>
    <w:rsid w:val="67A4786A"/>
    <w:rsid w:val="68490412"/>
    <w:rsid w:val="686510E4"/>
    <w:rsid w:val="6870741F"/>
    <w:rsid w:val="690C2AB2"/>
    <w:rsid w:val="69416AEB"/>
    <w:rsid w:val="69665F7F"/>
    <w:rsid w:val="696839A1"/>
    <w:rsid w:val="69D4450E"/>
    <w:rsid w:val="69D63F27"/>
    <w:rsid w:val="6A28066C"/>
    <w:rsid w:val="6B345453"/>
    <w:rsid w:val="6B676B8F"/>
    <w:rsid w:val="6B6F7C1D"/>
    <w:rsid w:val="6C1755BC"/>
    <w:rsid w:val="6D091EA5"/>
    <w:rsid w:val="6D5C587A"/>
    <w:rsid w:val="6D611304"/>
    <w:rsid w:val="6DE72159"/>
    <w:rsid w:val="6ED47FE9"/>
    <w:rsid w:val="700E4F6F"/>
    <w:rsid w:val="720D24B0"/>
    <w:rsid w:val="735724E0"/>
    <w:rsid w:val="73F6728B"/>
    <w:rsid w:val="742773AB"/>
    <w:rsid w:val="748719DD"/>
    <w:rsid w:val="758958F4"/>
    <w:rsid w:val="75B21A9F"/>
    <w:rsid w:val="75B305AA"/>
    <w:rsid w:val="767554D9"/>
    <w:rsid w:val="76FB7611"/>
    <w:rsid w:val="77742862"/>
    <w:rsid w:val="77755782"/>
    <w:rsid w:val="78B03D5F"/>
    <w:rsid w:val="78B97DC3"/>
    <w:rsid w:val="7AE40C2D"/>
    <w:rsid w:val="7BD17787"/>
    <w:rsid w:val="7CC95537"/>
    <w:rsid w:val="7E3314F0"/>
    <w:rsid w:val="7EA57E52"/>
    <w:rsid w:val="7F382EE6"/>
    <w:rsid w:val="7FF04B61"/>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0"/>
    <w:basedOn w:val="1"/>
    <w:qFormat/>
    <w:uiPriority w:val="0"/>
    <w:rPr>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1647</Words>
  <Characters>2085</Characters>
  <Lines>0</Lines>
  <Paragraphs>0</Paragraphs>
  <TotalTime>29</TotalTime>
  <ScaleCrop>false</ScaleCrop>
  <LinksUpToDate>false</LinksUpToDate>
  <CharactersWithSpaces>2117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2019-01-15T08:08:00Z</dcterms:created>
  <dc:creator>Administrator</dc:creator>
  <cp:lastModifiedBy>安末</cp:lastModifiedBy>
  <cp:lastPrinted>2024-12-19T03:54:18Z</cp:lastPrinted>
  <dcterms:modified xsi:type="dcterms:W3CDTF">2024-12-19T03:54:35Z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9833E7BFC8C947D7B683A5A69318A6D3</vt:lpwstr>
  </property>
</Properties>
</file>