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FF24BB">
      <w:pPr>
        <w:spacing w:line="576" w:lineRule="exact"/>
        <w:jc w:val="center"/>
        <w:rPr>
          <w:rFonts w:hint="default" w:ascii="楷体_GB2312" w:hAnsi="楷体_GB2312" w:eastAsia="楷体_GB2312" w:cs="楷体_GB2312"/>
          <w:sz w:val="32"/>
          <w:szCs w:val="32"/>
          <w:lang w:val="en-US"/>
        </w:rPr>
      </w:pPr>
      <w:bookmarkStart w:id="1" w:name="_GoBack"/>
      <w:r>
        <w:rPr>
          <w:rFonts w:hint="eastAsia" w:ascii="方正小标宋_GBK" w:hAnsi="方正小标宋_GBK" w:eastAsia="方正小标宋_GBK" w:cs="方正小标宋_GBK"/>
          <w:sz w:val="44"/>
          <w:szCs w:val="44"/>
          <w:lang w:val="en-US" w:eastAsia="zh-CN"/>
        </w:rPr>
        <w:t>2024年</w:t>
      </w:r>
      <w:bookmarkEnd w:id="1"/>
      <w:r>
        <w:rPr>
          <w:rFonts w:hint="eastAsia" w:ascii="方正小标宋_GBK" w:hAnsi="方正小标宋_GBK" w:eastAsia="方正小标宋_GBK" w:cs="方正小标宋_GBK"/>
          <w:sz w:val="44"/>
          <w:szCs w:val="44"/>
          <w:lang w:val="en-US" w:eastAsia="zh-CN"/>
        </w:rPr>
        <w:t>行政审批局年度工作总结</w:t>
      </w:r>
    </w:p>
    <w:p w14:paraId="3B30F186">
      <w:pPr>
        <w:spacing w:line="576" w:lineRule="exact"/>
        <w:ind w:firstLine="600" w:firstLineChars="200"/>
        <w:rPr>
          <w:rFonts w:hint="eastAsia" w:ascii="黑体" w:hAnsi="黑体" w:eastAsia="黑体" w:cs="黑体"/>
          <w:color w:val="000000"/>
          <w:sz w:val="30"/>
          <w:szCs w:val="30"/>
        </w:rPr>
      </w:pPr>
    </w:p>
    <w:p w14:paraId="5FAE887B">
      <w:pPr>
        <w:spacing w:line="576"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2024年，县行政审批局在县委、县政府的坚强领导下，持续深入学习习近平新时代中国特色社会主义思想和二十届三中全会精神，以优化营商环境为主线，以便企利民为核心，以效能建设为抓手，以数据赋能为支撑，不断深化改革、创优服务，持续擦亮“横好办”政务服务品牌，现将有关情况汇报如下：</w:t>
      </w:r>
    </w:p>
    <w:p w14:paraId="45B6B89D">
      <w:pPr>
        <w:spacing w:line="576" w:lineRule="exact"/>
        <w:ind w:firstLine="640" w:firstLineChars="200"/>
        <w:rPr>
          <w:rFonts w:hint="eastAsia" w:ascii="黑体" w:hAnsi="黑体" w:eastAsia="黑体" w:cs="黑体"/>
          <w:sz w:val="32"/>
          <w:szCs w:val="32"/>
          <w:lang w:val="en"/>
        </w:rPr>
      </w:pPr>
      <w:r>
        <w:rPr>
          <w:rFonts w:hint="eastAsia" w:ascii="黑体" w:hAnsi="黑体" w:eastAsia="黑体" w:cs="黑体"/>
          <w:sz w:val="32"/>
          <w:szCs w:val="32"/>
        </w:rPr>
        <w:t>一、2024年工作回顾</w:t>
      </w:r>
    </w:p>
    <w:p w14:paraId="126A4762">
      <w:pPr>
        <w:spacing w:line="576" w:lineRule="exact"/>
        <w:ind w:firstLine="643" w:firstLineChars="200"/>
        <w:rPr>
          <w:rFonts w:hint="eastAsia" w:ascii="仿宋_GB2312" w:hAnsi="仿宋" w:eastAsia="仿宋_GB2312" w:cs="仿宋"/>
          <w:b/>
          <w:bCs/>
          <w:sz w:val="32"/>
          <w:szCs w:val="32"/>
          <w:lang w:eastAsia="zh-CN"/>
        </w:rPr>
      </w:pPr>
      <w:r>
        <w:rPr>
          <w:rFonts w:hint="eastAsia" w:ascii="仿宋_GB2312" w:hAnsi="仿宋" w:eastAsia="仿宋_GB2312" w:cs="仿宋"/>
          <w:b/>
          <w:bCs/>
          <w:sz w:val="32"/>
          <w:szCs w:val="32"/>
          <w:lang w:eastAsia="zh-CN"/>
        </w:rPr>
        <w:t>（</w:t>
      </w:r>
      <w:r>
        <w:rPr>
          <w:rFonts w:hint="eastAsia" w:ascii="仿宋_GB2312" w:hAnsi="仿宋" w:eastAsia="仿宋_GB2312" w:cs="仿宋"/>
          <w:b/>
          <w:bCs/>
          <w:sz w:val="32"/>
          <w:szCs w:val="32"/>
          <w:lang w:val="en-US" w:eastAsia="zh-CN"/>
        </w:rPr>
        <w:t>一</w:t>
      </w:r>
      <w:r>
        <w:rPr>
          <w:rFonts w:hint="eastAsia" w:ascii="仿宋_GB2312" w:hAnsi="仿宋" w:eastAsia="仿宋_GB2312" w:cs="仿宋"/>
          <w:b/>
          <w:bCs/>
          <w:sz w:val="32"/>
          <w:szCs w:val="32"/>
          <w:lang w:eastAsia="zh-CN"/>
        </w:rPr>
        <w:t>）党建引领，强化</w:t>
      </w:r>
      <w:r>
        <w:rPr>
          <w:rFonts w:hint="eastAsia" w:ascii="仿宋_GB2312" w:hAnsi="仿宋" w:eastAsia="仿宋_GB2312" w:cs="仿宋"/>
          <w:b/>
          <w:bCs/>
          <w:sz w:val="32"/>
          <w:szCs w:val="32"/>
          <w:lang w:val="en-US" w:eastAsia="zh-CN"/>
        </w:rPr>
        <w:t>担当</w:t>
      </w:r>
    </w:p>
    <w:p w14:paraId="75831349">
      <w:pPr>
        <w:spacing w:line="576" w:lineRule="exact"/>
        <w:ind w:firstLine="640" w:firstLineChars="200"/>
        <w:rPr>
          <w:rFonts w:hint="eastAsia" w:ascii="仿宋_GB2312" w:hAnsi="仿宋" w:eastAsia="仿宋_GB2312" w:cs="仿宋"/>
          <w:b/>
          <w:bCs/>
          <w:sz w:val="32"/>
          <w:szCs w:val="32"/>
          <w:lang w:eastAsia="zh-CN"/>
        </w:rPr>
      </w:pPr>
      <w:r>
        <w:rPr>
          <w:rFonts w:hint="eastAsia" w:ascii="仿宋_GB2312" w:hAnsi="仿宋" w:eastAsia="仿宋_GB2312" w:cs="仿宋"/>
          <w:sz w:val="32"/>
          <w:szCs w:val="32"/>
          <w:lang w:eastAsia="zh-CN"/>
        </w:rPr>
        <w:t>牢固树立“抓党建就是最大政绩”理念，坚持聚焦政治属性抓引领，聚焦中心工作抓统筹，以高质量机关党建服务保障高质量发展。</w:t>
      </w:r>
    </w:p>
    <w:p w14:paraId="5ABD7E26">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3" w:firstLineChars="200"/>
        <w:rPr>
          <w:rFonts w:hint="eastAsia" w:ascii="仿宋_GB2312" w:hAnsi="仿宋" w:eastAsia="仿宋_GB2312" w:cs="仿宋"/>
          <w:kern w:val="2"/>
          <w:sz w:val="32"/>
          <w:szCs w:val="32"/>
          <w:lang w:val="en-US" w:eastAsia="zh-CN" w:bidi="ar-SA"/>
        </w:rPr>
      </w:pPr>
      <w:r>
        <w:rPr>
          <w:rFonts w:hint="eastAsia" w:ascii="仿宋_GB2312" w:hAnsi="仿宋" w:eastAsia="仿宋_GB2312" w:cs="仿宋"/>
          <w:b/>
          <w:bCs/>
          <w:kern w:val="2"/>
          <w:sz w:val="32"/>
          <w:szCs w:val="32"/>
          <w:lang w:val="en-US" w:eastAsia="zh-CN" w:bidi="ar-SA"/>
        </w:rPr>
        <w:t>1.围绕从严治党主线，涵养清正廉洁风气。</w:t>
      </w:r>
      <w:r>
        <w:rPr>
          <w:rFonts w:hint="eastAsia" w:ascii="仿宋_GB2312" w:hAnsi="仿宋" w:eastAsia="仿宋_GB2312" w:cs="仿宋"/>
          <w:kern w:val="2"/>
          <w:sz w:val="32"/>
          <w:szCs w:val="32"/>
          <w:lang w:val="en-US" w:eastAsia="zh-CN" w:bidi="ar-SA"/>
        </w:rPr>
        <w:t>加强队伍建设，强化理论武装。严格落实“三会一课”制度，执行“第一议题”制度，开展主题党日活动12次，逐月制定学习计划，以党组理论中心组学习、书记党课、每月课堂、每月一学等形式认真抓好学习教育，提高了干部职工的政治理论水平。同时扎实开展学习教育，推动纪律入脑入心，一体推进理论学习、警示教育、问题检视等重点工作，着力正风肃纪，坚持不懈贯彻中央八项规定精神，督促班子成员践行“一岗双责”，在全体党员干部中开展警示教育及典型案例剖析活动，充分发挥典型案例警示教育作用。</w:t>
      </w:r>
    </w:p>
    <w:p w14:paraId="193124D9">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3" w:firstLineChars="200"/>
        <w:rPr>
          <w:rFonts w:hint="eastAsia" w:ascii="微软雅黑" w:hAnsi="微软雅黑" w:eastAsia="微软雅黑" w:cs="微软雅黑"/>
          <w:i w:val="0"/>
          <w:iCs w:val="0"/>
          <w:caps w:val="0"/>
          <w:color w:val="auto"/>
          <w:spacing w:val="0"/>
          <w:sz w:val="19"/>
          <w:szCs w:val="19"/>
        </w:rPr>
      </w:pPr>
      <w:r>
        <w:rPr>
          <w:rFonts w:hint="eastAsia" w:ascii="仿宋_GB2312" w:hAnsi="仿宋" w:eastAsia="仿宋_GB2312" w:cs="仿宋"/>
          <w:b/>
          <w:bCs/>
          <w:kern w:val="2"/>
          <w:sz w:val="32"/>
          <w:szCs w:val="32"/>
          <w:lang w:val="en-US" w:eastAsia="zh-CN" w:bidi="ar-SA"/>
        </w:rPr>
        <w:t>2.严格压实主体</w:t>
      </w:r>
      <w:r>
        <w:rPr>
          <w:rFonts w:hint="default" w:ascii="仿宋_GB2312" w:hAnsi="仿宋" w:eastAsia="仿宋_GB2312" w:cs="仿宋"/>
          <w:b/>
          <w:bCs/>
          <w:kern w:val="2"/>
          <w:sz w:val="32"/>
          <w:szCs w:val="32"/>
          <w:lang w:val="en-US" w:eastAsia="zh-CN" w:bidi="ar-SA"/>
        </w:rPr>
        <w:t>责任，筑牢意识形态防线。</w:t>
      </w:r>
      <w:r>
        <w:rPr>
          <w:rFonts w:hint="default" w:ascii="仿宋_GB2312" w:hAnsi="微软雅黑" w:eastAsia="仿宋_GB2312" w:cs="仿宋_GB2312"/>
          <w:i w:val="0"/>
          <w:iCs w:val="0"/>
          <w:caps w:val="0"/>
          <w:color w:val="auto"/>
          <w:spacing w:val="0"/>
          <w:sz w:val="32"/>
          <w:szCs w:val="32"/>
          <w:shd w:val="clear" w:color="auto" w:fill="FFFFFF"/>
        </w:rPr>
        <w:t>加强组织领导</w:t>
      </w:r>
      <w:r>
        <w:rPr>
          <w:rFonts w:hint="eastAsia" w:ascii="仿宋_GB2312" w:hAnsi="微软雅黑" w:eastAsia="仿宋_GB2312" w:cs="仿宋_GB2312"/>
          <w:i w:val="0"/>
          <w:iCs w:val="0"/>
          <w:caps w:val="0"/>
          <w:color w:val="auto"/>
          <w:spacing w:val="0"/>
          <w:sz w:val="32"/>
          <w:szCs w:val="32"/>
          <w:shd w:val="clear" w:color="auto" w:fill="FFFFFF"/>
          <w:lang w:eastAsia="zh-CN"/>
        </w:rPr>
        <w:t>，</w:t>
      </w:r>
      <w:r>
        <w:rPr>
          <w:rFonts w:hint="default" w:ascii="仿宋_GB2312" w:hAnsi="微软雅黑" w:eastAsia="仿宋_GB2312" w:cs="仿宋_GB2312"/>
          <w:i w:val="0"/>
          <w:iCs w:val="0"/>
          <w:caps w:val="0"/>
          <w:color w:val="auto"/>
          <w:spacing w:val="0"/>
          <w:sz w:val="32"/>
          <w:szCs w:val="32"/>
          <w:shd w:val="clear" w:color="auto" w:fill="FFFFFF"/>
        </w:rPr>
        <w:t>及时研究安排部署，坚持做到意识形态工作与各项工作同部署、同检查、同落实。</w:t>
      </w:r>
      <w:r>
        <w:rPr>
          <w:rFonts w:hint="eastAsia" w:ascii="仿宋_GB2312" w:hAnsi="微软雅黑" w:eastAsia="仿宋_GB2312" w:cs="仿宋_GB2312"/>
          <w:i w:val="0"/>
          <w:iCs w:val="0"/>
          <w:caps w:val="0"/>
          <w:color w:val="auto"/>
          <w:spacing w:val="0"/>
          <w:sz w:val="32"/>
          <w:szCs w:val="32"/>
          <w:shd w:val="clear" w:color="auto" w:fill="FFFFFF"/>
          <w:lang w:val="en-US" w:eastAsia="zh-CN"/>
        </w:rPr>
        <w:t>党组</w:t>
      </w:r>
      <w:r>
        <w:rPr>
          <w:rFonts w:hint="default" w:ascii="仿宋_GB2312" w:hAnsi="微软雅黑" w:eastAsia="仿宋_GB2312" w:cs="仿宋_GB2312"/>
          <w:i w:val="0"/>
          <w:iCs w:val="0"/>
          <w:caps w:val="0"/>
          <w:color w:val="auto"/>
          <w:spacing w:val="0"/>
          <w:sz w:val="32"/>
          <w:szCs w:val="32"/>
          <w:shd w:val="clear" w:color="auto" w:fill="FFFFFF"/>
        </w:rPr>
        <w:t>召开</w:t>
      </w:r>
      <w:r>
        <w:rPr>
          <w:rFonts w:hint="eastAsia" w:ascii="仿宋_GB2312" w:hAnsi="微软雅黑" w:eastAsia="仿宋_GB2312" w:cs="仿宋_GB2312"/>
          <w:i w:val="0"/>
          <w:iCs w:val="0"/>
          <w:caps w:val="0"/>
          <w:color w:val="auto"/>
          <w:spacing w:val="0"/>
          <w:sz w:val="32"/>
          <w:szCs w:val="32"/>
          <w:shd w:val="clear" w:color="auto" w:fill="FFFFFF"/>
          <w:lang w:val="en-US" w:eastAsia="zh-CN"/>
        </w:rPr>
        <w:t>20余次党组扩大会、</w:t>
      </w:r>
      <w:r>
        <w:rPr>
          <w:rFonts w:hint="default" w:ascii="仿宋_GB2312" w:hAnsi="微软雅黑" w:eastAsia="仿宋_GB2312" w:cs="仿宋_GB2312"/>
          <w:i w:val="0"/>
          <w:iCs w:val="0"/>
          <w:caps w:val="0"/>
          <w:color w:val="auto"/>
          <w:spacing w:val="0"/>
          <w:sz w:val="32"/>
          <w:szCs w:val="32"/>
          <w:shd w:val="clear" w:color="auto" w:fill="FFFFFF"/>
        </w:rPr>
        <w:t>理论学习中心组会议及专题研讨班，深入学习</w:t>
      </w:r>
      <w:r>
        <w:rPr>
          <w:rFonts w:hint="eastAsia" w:ascii="仿宋_GB2312" w:hAnsi="微软雅黑" w:eastAsia="仿宋_GB2312" w:cs="仿宋_GB2312"/>
          <w:i w:val="0"/>
          <w:iCs w:val="0"/>
          <w:caps w:val="0"/>
          <w:color w:val="auto"/>
          <w:spacing w:val="0"/>
          <w:sz w:val="32"/>
          <w:szCs w:val="32"/>
          <w:shd w:val="clear" w:color="auto" w:fill="FFFFFF"/>
          <w:lang w:val="en-US" w:eastAsia="zh-CN"/>
        </w:rPr>
        <w:t>习近平总书记</w:t>
      </w:r>
      <w:r>
        <w:rPr>
          <w:rFonts w:hint="default" w:ascii="仿宋_GB2312" w:hAnsi="微软雅黑" w:eastAsia="仿宋_GB2312" w:cs="仿宋_GB2312"/>
          <w:i w:val="0"/>
          <w:iCs w:val="0"/>
          <w:caps w:val="0"/>
          <w:color w:val="auto"/>
          <w:spacing w:val="0"/>
          <w:sz w:val="32"/>
          <w:szCs w:val="32"/>
          <w:shd w:val="clear" w:color="auto" w:fill="FFFFFF"/>
        </w:rPr>
        <w:t>关于意识形态工作的重要理论，分析研判当前意识形态领域存在的苗头性、倾向性问题，对做好新时代意识形态工作作出全面部署。落实主体责任</w:t>
      </w:r>
      <w:r>
        <w:rPr>
          <w:rFonts w:hint="eastAsia" w:ascii="仿宋_GB2312" w:hAnsi="微软雅黑" w:eastAsia="仿宋_GB2312" w:cs="仿宋_GB2312"/>
          <w:i w:val="0"/>
          <w:iCs w:val="0"/>
          <w:caps w:val="0"/>
          <w:color w:val="auto"/>
          <w:spacing w:val="0"/>
          <w:sz w:val="32"/>
          <w:szCs w:val="32"/>
          <w:shd w:val="clear" w:color="auto" w:fill="FFFFFF"/>
          <w:lang w:eastAsia="zh-CN"/>
        </w:rPr>
        <w:t>，</w:t>
      </w:r>
      <w:r>
        <w:rPr>
          <w:rFonts w:hint="default" w:ascii="仿宋_GB2312" w:hAnsi="微软雅黑" w:eastAsia="仿宋_GB2312" w:cs="仿宋_GB2312"/>
          <w:i w:val="0"/>
          <w:iCs w:val="0"/>
          <w:caps w:val="0"/>
          <w:color w:val="auto"/>
          <w:spacing w:val="0"/>
          <w:sz w:val="32"/>
          <w:szCs w:val="32"/>
          <w:shd w:val="clear" w:color="auto" w:fill="FFFFFF"/>
        </w:rPr>
        <w:t>把意识形态工作纳入党建工作责任制、纳入领导班子和领导干部目标考核体系、纳入执行党的纪律的监督检查范围、纳入干部选拔任用考核，带头抓学习、带头抓宣传、带头抓治理、带头抓队伍。</w:t>
      </w:r>
    </w:p>
    <w:p w14:paraId="4309947D">
      <w:pPr>
        <w:spacing w:line="576" w:lineRule="exact"/>
        <w:ind w:firstLine="643" w:firstLineChars="200"/>
        <w:rPr>
          <w:rFonts w:hint="eastAsia" w:ascii="微软雅黑" w:hAnsi="微软雅黑" w:eastAsia="微软雅黑" w:cs="微软雅黑"/>
          <w:i w:val="0"/>
          <w:iCs w:val="0"/>
          <w:caps w:val="0"/>
          <w:color w:val="auto"/>
          <w:spacing w:val="0"/>
          <w:sz w:val="19"/>
          <w:szCs w:val="19"/>
        </w:rPr>
      </w:pPr>
      <w:r>
        <w:rPr>
          <w:rFonts w:hint="eastAsia" w:ascii="仿宋_GB2312" w:hAnsi="仿宋" w:eastAsia="仿宋_GB2312" w:cs="仿宋"/>
          <w:b/>
          <w:bCs/>
          <w:sz w:val="32"/>
          <w:szCs w:val="32"/>
          <w:lang w:val="en-US" w:eastAsia="zh-CN"/>
        </w:rPr>
        <w:t>3.</w:t>
      </w:r>
      <w:r>
        <w:rPr>
          <w:rFonts w:hint="eastAsia" w:ascii="仿宋_GB2312" w:hAnsi="仿宋" w:eastAsia="仿宋_GB2312" w:cs="仿宋"/>
          <w:b/>
          <w:bCs/>
          <w:sz w:val="32"/>
          <w:szCs w:val="32"/>
          <w:lang w:eastAsia="zh-CN"/>
        </w:rPr>
        <w:t>建立健全制度机制，全面构建严谨体系。</w:t>
      </w:r>
      <w:r>
        <w:rPr>
          <w:rFonts w:hint="eastAsia" w:ascii="仿宋_GB2312" w:hAnsi="仿宋" w:eastAsia="仿宋_GB2312" w:cs="仿宋"/>
          <w:sz w:val="32"/>
          <w:szCs w:val="32"/>
          <w:lang w:eastAsia="zh-CN"/>
        </w:rPr>
        <w:t>强化制度引导，</w:t>
      </w:r>
      <w:r>
        <w:rPr>
          <w:rFonts w:hint="eastAsia" w:ascii="仿宋_GB2312" w:hAnsi="仿宋" w:eastAsia="仿宋_GB2312" w:cs="仿宋"/>
          <w:sz w:val="32"/>
          <w:szCs w:val="32"/>
          <w:lang w:val="en-US" w:eastAsia="zh-CN"/>
        </w:rPr>
        <w:t>落实党的二十届三中全会《决定》要求，进一步全面深化改革，持续完善各方面制度机制，对本单位各项制度重新梳理，印发《政务服务事项“一网通办”制度》、《政务服务事项“一站式”制度》等14项规范性文件，进一步扎紧制度笼子，切实从源头上防止问题发生。</w:t>
      </w:r>
    </w:p>
    <w:p w14:paraId="0DD54863">
      <w:pPr>
        <w:spacing w:line="576" w:lineRule="exact"/>
        <w:ind w:firstLine="643" w:firstLineChars="200"/>
        <w:rPr>
          <w:rFonts w:hint="eastAsia" w:ascii="仿宋_GB2312" w:hAnsi="仿宋" w:eastAsia="仿宋_GB2312" w:cs="仿宋"/>
          <w:b/>
          <w:bCs/>
          <w:sz w:val="32"/>
          <w:szCs w:val="32"/>
        </w:rPr>
      </w:pPr>
      <w:r>
        <w:rPr>
          <w:rFonts w:hint="eastAsia" w:ascii="仿宋_GB2312" w:hAnsi="仿宋" w:eastAsia="仿宋_GB2312" w:cs="仿宋"/>
          <w:b/>
          <w:bCs/>
          <w:sz w:val="32"/>
          <w:szCs w:val="32"/>
        </w:rPr>
        <w:t>（</w:t>
      </w:r>
      <w:r>
        <w:rPr>
          <w:rFonts w:hint="eastAsia" w:ascii="仿宋_GB2312" w:hAnsi="仿宋" w:eastAsia="仿宋_GB2312" w:cs="仿宋"/>
          <w:b/>
          <w:bCs/>
          <w:sz w:val="32"/>
          <w:szCs w:val="32"/>
          <w:lang w:val="en-US" w:eastAsia="zh-CN"/>
        </w:rPr>
        <w:t>二</w:t>
      </w:r>
      <w:r>
        <w:rPr>
          <w:rFonts w:hint="eastAsia" w:ascii="仿宋_GB2312" w:hAnsi="仿宋" w:eastAsia="仿宋_GB2312" w:cs="仿宋"/>
          <w:b/>
          <w:bCs/>
          <w:sz w:val="32"/>
          <w:szCs w:val="32"/>
        </w:rPr>
        <w:t>）机构改革，稳步推进</w:t>
      </w:r>
    </w:p>
    <w:p w14:paraId="4A46C047">
      <w:pPr>
        <w:spacing w:line="576"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根据县委、县政府机构改革的部署和要求，新组建横峰县行政审批局，进一步厘清了部门的职责划分。相对集中许可权的改革正在稳步推进，已明确划转事项，目前正在与涉事项划转部门协商事项划转方案。</w:t>
      </w:r>
    </w:p>
    <w:p w14:paraId="174B341E">
      <w:pPr>
        <w:numPr>
          <w:ilvl w:val="0"/>
          <w:numId w:val="0"/>
        </w:numPr>
        <w:spacing w:line="576" w:lineRule="exact"/>
        <w:ind w:firstLine="643" w:firstLineChars="200"/>
        <w:rPr>
          <w:rFonts w:hint="eastAsia" w:ascii="仿宋_GB2312" w:hAnsi="仿宋" w:eastAsia="仿宋_GB2312" w:cs="仿宋"/>
          <w:b/>
          <w:bCs/>
          <w:sz w:val="32"/>
          <w:szCs w:val="32"/>
        </w:rPr>
      </w:pPr>
      <w:r>
        <w:rPr>
          <w:rFonts w:hint="eastAsia" w:ascii="仿宋_GB2312" w:hAnsi="仿宋" w:eastAsia="仿宋_GB2312" w:cs="仿宋"/>
          <w:b/>
          <w:bCs/>
          <w:sz w:val="32"/>
          <w:szCs w:val="32"/>
          <w:lang w:eastAsia="zh-CN"/>
        </w:rPr>
        <w:t>（</w:t>
      </w:r>
      <w:r>
        <w:rPr>
          <w:rFonts w:hint="eastAsia" w:ascii="仿宋_GB2312" w:hAnsi="仿宋" w:eastAsia="仿宋_GB2312" w:cs="仿宋"/>
          <w:b/>
          <w:bCs/>
          <w:sz w:val="32"/>
          <w:szCs w:val="32"/>
          <w:lang w:val="en-US" w:eastAsia="zh-CN"/>
        </w:rPr>
        <w:t>三</w:t>
      </w:r>
      <w:r>
        <w:rPr>
          <w:rFonts w:hint="eastAsia" w:ascii="仿宋_GB2312" w:hAnsi="仿宋" w:eastAsia="仿宋_GB2312" w:cs="仿宋"/>
          <w:b/>
          <w:bCs/>
          <w:sz w:val="32"/>
          <w:szCs w:val="32"/>
          <w:lang w:eastAsia="zh-CN"/>
        </w:rPr>
        <w:t>）</w:t>
      </w:r>
      <w:r>
        <w:rPr>
          <w:rFonts w:hint="eastAsia" w:ascii="仿宋_GB2312" w:hAnsi="仿宋" w:eastAsia="仿宋_GB2312" w:cs="仿宋"/>
          <w:b/>
          <w:bCs/>
          <w:sz w:val="32"/>
          <w:szCs w:val="32"/>
        </w:rPr>
        <w:t>政务服务，效能提升</w:t>
      </w:r>
    </w:p>
    <w:p w14:paraId="3B1B31F3">
      <w:pPr>
        <w:spacing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1、调整窗口设置。</w:t>
      </w:r>
      <w:r>
        <w:rPr>
          <w:rFonts w:hint="eastAsia" w:ascii="仿宋_GB2312" w:hAnsi="仿宋" w:eastAsia="仿宋_GB2312" w:cs="仿宋"/>
          <w:sz w:val="32"/>
          <w:szCs w:val="32"/>
        </w:rPr>
        <w:t>以用户思维为出发点，优化政务服务大厅窗口配置，将高频事项、老年人和残疾人办理事项设置在一楼；为进一步提升企业办事便利度，将涉企的税务服务、市场准入、工程建设审批、惠企政策兑现4个专区进行整合，设立企业综合服务区。</w:t>
      </w:r>
    </w:p>
    <w:p w14:paraId="1D5802F5">
      <w:pPr>
        <w:pStyle w:val="3"/>
        <w:spacing w:after="0"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2、完善管理机制。</w:t>
      </w:r>
      <w:r>
        <w:rPr>
          <w:rFonts w:hint="eastAsia" w:ascii="仿宋_GB2312" w:hAnsi="仿宋" w:eastAsia="仿宋_GB2312" w:cs="仿宋"/>
          <w:sz w:val="32"/>
          <w:szCs w:val="32"/>
        </w:rPr>
        <w:t>制定并实施了《横峰县行政审批局6S管理制度》，每月组织“模范专区”“服务之星”评比活动，进一步营造“比学赶超”的良好氛围。积极组织窗口导办参与“行政办事员”的培训及业务比拼。目前，已有6名工作人员获得“行政办事员”资格证书。</w:t>
      </w:r>
    </w:p>
    <w:p w14:paraId="54763603">
      <w:pPr>
        <w:pStyle w:val="3"/>
        <w:spacing w:after="0"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3、优化服务模式。一是</w:t>
      </w:r>
      <w:r>
        <w:rPr>
          <w:rFonts w:hint="eastAsia" w:ascii="仿宋_GB2312" w:hAnsi="仿宋" w:eastAsia="仿宋_GB2312" w:cs="仿宋"/>
          <w:sz w:val="32"/>
          <w:szCs w:val="32"/>
        </w:rPr>
        <w:t>持续开展延时错时预约服务，提升“小赣事”帮代办服务水平，通过加强学习培训、优化队伍建设等，实现更加标准、规范、高效的“小赣事”帮代办。今年以来，县政务服务中心开展延时错时预约服务3400余人次。162项跨省通办事项、483项省内通办事项、118项市内通办事项可在政务服务中心实现办理。</w:t>
      </w:r>
      <w:r>
        <w:rPr>
          <w:rFonts w:hint="eastAsia" w:ascii="仿宋_GB2312" w:hAnsi="仿宋" w:eastAsia="仿宋_GB2312" w:cs="仿宋"/>
          <w:b/>
          <w:bCs/>
          <w:sz w:val="32"/>
          <w:szCs w:val="32"/>
        </w:rPr>
        <w:t>二是</w:t>
      </w:r>
      <w:r>
        <w:rPr>
          <w:rFonts w:hint="eastAsia" w:ascii="仿宋_GB2312" w:hAnsi="仿宋" w:eastAsia="仿宋_GB2312" w:cs="仿宋"/>
          <w:sz w:val="32"/>
          <w:szCs w:val="32"/>
        </w:rPr>
        <w:t>常态化开展局长走流程活动，窗口单位领导带班（坐班）工作机制，每月9号各进驻单位的主要领导、每周一分管领导进驻大厅与企业、群众面对面座谈交流谈体会、查问题、优流程，1-11月，已发现问题182个，已全部完成整改。</w:t>
      </w:r>
      <w:r>
        <w:rPr>
          <w:rFonts w:hint="eastAsia" w:ascii="仿宋_GB2312" w:hAnsi="仿宋" w:eastAsia="仿宋_GB2312" w:cs="仿宋"/>
          <w:b/>
          <w:bCs/>
          <w:sz w:val="32"/>
          <w:szCs w:val="32"/>
        </w:rPr>
        <w:t>三是</w:t>
      </w:r>
      <w:r>
        <w:rPr>
          <w:rFonts w:hint="eastAsia" w:ascii="仿宋_GB2312" w:hAnsi="仿宋" w:eastAsia="仿宋_GB2312" w:cs="仿宋"/>
          <w:sz w:val="32"/>
          <w:szCs w:val="32"/>
        </w:rPr>
        <w:t>全面深化“一件事”改革。今年国家和省级部署的25项“高效办成一件事”已全部落实落地，标准化配置事项，逐步推进事项线下办理和线上办理深度融合。</w:t>
      </w:r>
    </w:p>
    <w:p w14:paraId="35E6D743">
      <w:pPr>
        <w:pStyle w:val="3"/>
        <w:keepNext w:val="0"/>
        <w:keepLines w:val="0"/>
        <w:pageBreakBefore w:val="0"/>
        <w:widowControl w:val="0"/>
        <w:kinsoku/>
        <w:wordWrap/>
        <w:overflowPunct/>
        <w:topLinePunct w:val="0"/>
        <w:autoSpaceDE/>
        <w:autoSpaceDN/>
        <w:bidi w:val="0"/>
        <w:adjustRightInd/>
        <w:snapToGrid/>
        <w:spacing w:after="0" w:line="520" w:lineRule="exact"/>
        <w:ind w:firstLine="602" w:firstLineChars="200"/>
        <w:textAlignment w:val="auto"/>
        <w:rPr>
          <w:rFonts w:hint="default" w:ascii="仿宋_GB2312" w:hAnsi="仿宋_GB2312" w:eastAsia="仿宋_GB2312" w:cs="仿宋_GB2312"/>
          <w:color w:val="000000"/>
          <w:kern w:val="0"/>
          <w:sz w:val="30"/>
          <w:szCs w:val="30"/>
          <w:lang w:val="en-US" w:eastAsia="zh-CN" w:bidi="ar"/>
        </w:rPr>
      </w:pPr>
      <w:r>
        <w:rPr>
          <w:rFonts w:hint="eastAsia" w:ascii="仿宋" w:hAnsi="仿宋" w:eastAsia="仿宋" w:cs="仿宋"/>
          <w:b/>
          <w:bCs/>
          <w:color w:val="auto"/>
          <w:sz w:val="30"/>
          <w:szCs w:val="30"/>
          <w:lang w:val="en-US" w:eastAsia="zh-CN"/>
        </w:rPr>
        <w:t>4、深化政务改革。</w:t>
      </w:r>
      <w:r>
        <w:rPr>
          <w:rFonts w:hint="eastAsia" w:ascii="仿宋_GB2312" w:hAnsi="仿宋_GB2312" w:eastAsia="仿宋_GB2312" w:cs="仿宋_GB2312"/>
          <w:b/>
          <w:bCs/>
          <w:color w:val="000000"/>
          <w:kern w:val="0"/>
          <w:sz w:val="30"/>
          <w:szCs w:val="30"/>
          <w:lang w:val="en-US" w:eastAsia="zh-CN" w:bidi="ar"/>
        </w:rPr>
        <w:t>全面推进“一网通办”。</w:t>
      </w:r>
      <w:r>
        <w:rPr>
          <w:rFonts w:hint="default" w:ascii="仿宋_GB2312" w:hAnsi="仿宋_GB2312" w:eastAsia="仿宋_GB2312" w:cs="仿宋_GB2312"/>
          <w:color w:val="000000"/>
          <w:kern w:val="0"/>
          <w:sz w:val="30"/>
          <w:szCs w:val="30"/>
          <w:lang w:val="en-US" w:eastAsia="zh-CN" w:bidi="ar"/>
        </w:rPr>
        <w:t>全</w:t>
      </w:r>
      <w:r>
        <w:rPr>
          <w:rFonts w:hint="eastAsia" w:ascii="仿宋_GB2312" w:hAnsi="仿宋_GB2312" w:eastAsia="仿宋_GB2312" w:cs="仿宋_GB2312"/>
          <w:color w:val="000000"/>
          <w:kern w:val="0"/>
          <w:sz w:val="30"/>
          <w:szCs w:val="30"/>
          <w:lang w:val="en-US" w:eastAsia="zh-CN" w:bidi="ar"/>
        </w:rPr>
        <w:t>县2217</w:t>
      </w:r>
      <w:r>
        <w:rPr>
          <w:rFonts w:hint="default" w:ascii="仿宋_GB2312" w:hAnsi="仿宋_GB2312" w:eastAsia="仿宋_GB2312" w:cs="仿宋_GB2312"/>
          <w:color w:val="000000"/>
          <w:kern w:val="0"/>
          <w:sz w:val="30"/>
          <w:szCs w:val="30"/>
          <w:lang w:val="en-US" w:eastAsia="zh-CN" w:bidi="ar"/>
        </w:rPr>
        <w:t>项依申请类政务服务事项全部部署至江西政务服务网</w:t>
      </w:r>
      <w:r>
        <w:rPr>
          <w:rFonts w:hint="eastAsia" w:ascii="仿宋_GB2312" w:hAnsi="仿宋_GB2312" w:eastAsia="仿宋_GB2312" w:cs="仿宋_GB2312"/>
          <w:color w:val="000000"/>
          <w:kern w:val="0"/>
          <w:sz w:val="30"/>
          <w:szCs w:val="30"/>
          <w:lang w:val="en-US" w:eastAsia="zh-CN" w:bidi="ar"/>
        </w:rPr>
        <w:t>横峰</w:t>
      </w:r>
      <w:r>
        <w:rPr>
          <w:rFonts w:hint="default" w:ascii="仿宋_GB2312" w:hAnsi="仿宋_GB2312" w:eastAsia="仿宋_GB2312" w:cs="仿宋_GB2312"/>
          <w:color w:val="000000"/>
          <w:kern w:val="0"/>
          <w:sz w:val="30"/>
          <w:szCs w:val="30"/>
          <w:lang w:val="en-US" w:eastAsia="zh-CN" w:bidi="ar"/>
        </w:rPr>
        <w:t>分厅，网上可办率达100%</w:t>
      </w:r>
      <w:r>
        <w:rPr>
          <w:rFonts w:hint="eastAsia" w:ascii="仿宋_GB2312" w:hAnsi="仿宋_GB2312" w:eastAsia="仿宋_GB2312" w:cs="仿宋_GB2312"/>
          <w:color w:val="000000"/>
          <w:kern w:val="0"/>
          <w:sz w:val="30"/>
          <w:szCs w:val="30"/>
          <w:lang w:val="en-US" w:eastAsia="zh-CN" w:bidi="ar"/>
        </w:rPr>
        <w:t>。</w:t>
      </w:r>
      <w:r>
        <w:rPr>
          <w:rFonts w:hint="eastAsia" w:ascii="仿宋" w:hAnsi="仿宋" w:eastAsia="仿宋" w:cs="仿宋"/>
          <w:b/>
          <w:bCs/>
          <w:color w:val="auto"/>
          <w:sz w:val="30"/>
          <w:szCs w:val="30"/>
          <w:lang w:val="en-US" w:eastAsia="zh-CN"/>
        </w:rPr>
        <w:t>优化惠企政策兑现服务。</w:t>
      </w:r>
      <w:r>
        <w:rPr>
          <w:rFonts w:hint="eastAsia" w:ascii="仿宋_GB2312" w:hAnsi="仿宋_GB2312" w:eastAsia="仿宋_GB2312" w:cs="仿宋_GB2312"/>
          <w:color w:val="000000"/>
          <w:kern w:val="0"/>
          <w:sz w:val="30"/>
          <w:szCs w:val="30"/>
          <w:lang w:val="en-US" w:eastAsia="zh-CN" w:bidi="ar"/>
        </w:rPr>
        <w:t>动态梳理惠企</w:t>
      </w:r>
      <w:r>
        <w:rPr>
          <w:rFonts w:hint="default" w:ascii="仿宋_GB2312" w:hAnsi="仿宋_GB2312" w:eastAsia="仿宋_GB2312" w:cs="仿宋_GB2312"/>
          <w:color w:val="000000"/>
          <w:kern w:val="0"/>
          <w:sz w:val="30"/>
          <w:szCs w:val="30"/>
          <w:lang w:val="en-US" w:eastAsia="zh-CN" w:bidi="ar"/>
        </w:rPr>
        <w:t>政策事项上线“惠企通”平台，</w:t>
      </w:r>
      <w:r>
        <w:rPr>
          <w:rFonts w:hint="eastAsia" w:ascii="仿宋_GB2312" w:hAnsi="仿宋_GB2312" w:eastAsia="仿宋_GB2312" w:cs="仿宋_GB2312"/>
          <w:color w:val="000000"/>
          <w:kern w:val="0"/>
          <w:sz w:val="30"/>
          <w:szCs w:val="30"/>
          <w:lang w:val="en-US" w:eastAsia="zh-CN" w:bidi="ar"/>
        </w:rPr>
        <w:t>截至目前共梳理政策事项共33项，其中免申即享16项，承诺兑现17项，按照“应上尽上”的原则，已全部上线赣服通“惠企通”平台。今年以来“线上线下”惠企政策兑现共办结305件，惠及企业253家，涉及总金额7530余万元。</w:t>
      </w:r>
      <w:r>
        <w:rPr>
          <w:rFonts w:hint="eastAsia" w:ascii="仿宋_GB2312" w:hAnsi="仿宋_GB2312" w:eastAsia="仿宋_GB2312" w:cs="仿宋_GB2312"/>
          <w:b/>
          <w:bCs/>
          <w:color w:val="000000"/>
          <w:kern w:val="0"/>
          <w:sz w:val="30"/>
          <w:szCs w:val="30"/>
          <w:lang w:val="en-US" w:eastAsia="zh-CN" w:bidi="ar"/>
        </w:rPr>
        <w:t>推进“一网选中介”。</w:t>
      </w:r>
      <w:r>
        <w:rPr>
          <w:rFonts w:hint="eastAsia" w:ascii="仿宋_GB2312" w:hAnsi="仿宋_GB2312" w:eastAsia="仿宋_GB2312" w:cs="仿宋_GB2312"/>
          <w:color w:val="000000"/>
          <w:kern w:val="0"/>
          <w:sz w:val="30"/>
          <w:szCs w:val="30"/>
          <w:lang w:val="en-US" w:eastAsia="zh-CN" w:bidi="ar"/>
        </w:rPr>
        <w:t>148家项目业主、16</w:t>
      </w:r>
      <w:r>
        <w:rPr>
          <w:rFonts w:hint="default" w:ascii="仿宋_GB2312" w:hAnsi="仿宋_GB2312" w:eastAsia="仿宋_GB2312" w:cs="仿宋_GB2312"/>
          <w:color w:val="000000"/>
          <w:kern w:val="0"/>
          <w:sz w:val="30"/>
          <w:szCs w:val="30"/>
          <w:lang w:val="en-US" w:eastAsia="zh-CN" w:bidi="ar"/>
        </w:rPr>
        <w:t>家中介服务机构进驻中介服务超市，</w:t>
      </w:r>
      <w:r>
        <w:rPr>
          <w:rFonts w:hint="eastAsia" w:ascii="仿宋_GB2312" w:hAnsi="仿宋_GB2312" w:eastAsia="仿宋_GB2312" w:cs="仿宋_GB2312"/>
          <w:color w:val="000000"/>
          <w:kern w:val="0"/>
          <w:sz w:val="30"/>
          <w:szCs w:val="30"/>
          <w:lang w:val="en-US" w:eastAsia="zh-CN" w:bidi="ar"/>
        </w:rPr>
        <w:t>今年</w:t>
      </w:r>
      <w:r>
        <w:rPr>
          <w:rFonts w:hint="default" w:ascii="仿宋_GB2312" w:hAnsi="仿宋_GB2312" w:eastAsia="仿宋_GB2312" w:cs="仿宋_GB2312"/>
          <w:color w:val="000000"/>
          <w:kern w:val="0"/>
          <w:sz w:val="30"/>
          <w:szCs w:val="30"/>
          <w:lang w:val="en-US" w:eastAsia="zh-CN" w:bidi="ar"/>
        </w:rPr>
        <w:t>发布采购项目</w:t>
      </w:r>
      <w:r>
        <w:rPr>
          <w:rFonts w:hint="eastAsia" w:ascii="仿宋_GB2312" w:hAnsi="仿宋_GB2312" w:eastAsia="仿宋_GB2312" w:cs="仿宋_GB2312"/>
          <w:color w:val="000000"/>
          <w:kern w:val="0"/>
          <w:sz w:val="30"/>
          <w:szCs w:val="30"/>
          <w:lang w:val="en-US" w:eastAsia="zh-CN" w:bidi="ar"/>
        </w:rPr>
        <w:t>507</w:t>
      </w:r>
      <w:r>
        <w:rPr>
          <w:rFonts w:hint="default" w:ascii="仿宋_GB2312" w:hAnsi="仿宋_GB2312" w:eastAsia="仿宋_GB2312" w:cs="仿宋_GB2312"/>
          <w:color w:val="000000"/>
          <w:kern w:val="0"/>
          <w:sz w:val="30"/>
          <w:szCs w:val="30"/>
          <w:lang w:val="en-US" w:eastAsia="zh-CN" w:bidi="ar"/>
        </w:rPr>
        <w:t>个，实现助企政策一“触”即享、中介服务机构一“点”就好。</w:t>
      </w:r>
      <w:r>
        <w:rPr>
          <w:rFonts w:hint="eastAsia" w:ascii="仿宋" w:hAnsi="仿宋" w:eastAsia="仿宋" w:cs="仿宋"/>
          <w:b/>
          <w:bCs/>
          <w:color w:val="auto"/>
          <w:sz w:val="30"/>
          <w:szCs w:val="30"/>
          <w:lang w:val="en-US" w:eastAsia="zh-CN"/>
        </w:rPr>
        <w:t>全面深化“一件事”改革。</w:t>
      </w:r>
      <w:r>
        <w:rPr>
          <w:rFonts w:hint="eastAsia" w:ascii="仿宋_GB2312" w:hAnsi="仿宋_GB2312" w:eastAsia="仿宋_GB2312" w:cs="仿宋_GB2312"/>
          <w:color w:val="000000"/>
          <w:kern w:val="0"/>
          <w:sz w:val="30"/>
          <w:szCs w:val="30"/>
          <w:lang w:val="en-US" w:eastAsia="zh-CN" w:bidi="ar"/>
        </w:rPr>
        <w:t>今年国家和省级部署的25项“高效办成一件事”已全部落实落地，</w:t>
      </w:r>
      <w:r>
        <w:rPr>
          <w:rFonts w:hint="eastAsia" w:ascii="仿宋" w:hAnsi="仿宋" w:eastAsia="仿宋" w:cs="仿宋"/>
          <w:color w:val="auto"/>
          <w:sz w:val="30"/>
          <w:szCs w:val="30"/>
          <w:lang w:val="en-US" w:eastAsia="zh-CN"/>
        </w:rPr>
        <w:t>标准化配置事项，逐步推进事项线下办理和线上办理深度融合。</w:t>
      </w:r>
      <w:r>
        <w:rPr>
          <w:rFonts w:hint="eastAsia" w:ascii="仿宋" w:hAnsi="仿宋" w:eastAsia="仿宋" w:cs="仿宋"/>
          <w:b/>
          <w:bCs/>
          <w:color w:val="auto"/>
          <w:sz w:val="30"/>
          <w:szCs w:val="30"/>
          <w:lang w:val="en-US" w:eastAsia="zh-CN"/>
        </w:rPr>
        <w:t>持续推进“异地通办”。</w:t>
      </w:r>
      <w:r>
        <w:rPr>
          <w:rFonts w:hint="eastAsia" w:ascii="仿宋_GB2312" w:hAnsi="仿宋_GB2312" w:eastAsia="仿宋_GB2312" w:cs="仿宋_GB2312"/>
          <w:color w:val="000000"/>
          <w:kern w:val="0"/>
          <w:sz w:val="30"/>
          <w:szCs w:val="30"/>
          <w:lang w:val="en-US" w:eastAsia="zh-CN" w:bidi="ar"/>
        </w:rPr>
        <w:t>落实完成了162项跨省通办事项、483项省内通办事项、118项市内通办事项。</w:t>
      </w:r>
      <w:r>
        <w:rPr>
          <w:rFonts w:hint="eastAsia" w:ascii="仿宋" w:hAnsi="仿宋" w:eastAsia="仿宋" w:cs="仿宋"/>
          <w:b/>
          <w:bCs/>
          <w:color w:val="auto"/>
          <w:sz w:val="30"/>
          <w:szCs w:val="30"/>
          <w:lang w:val="en-US" w:eastAsia="zh-CN"/>
        </w:rPr>
        <w:t>提升公共资源交易服务水平。</w:t>
      </w:r>
      <w:r>
        <w:rPr>
          <w:rFonts w:hint="eastAsia" w:ascii="仿宋" w:hAnsi="仿宋" w:eastAsia="仿宋" w:cs="仿宋"/>
          <w:b w:val="0"/>
          <w:color w:val="auto"/>
          <w:kern w:val="2"/>
          <w:sz w:val="30"/>
          <w:szCs w:val="30"/>
          <w:lang w:val="en-US" w:eastAsia="zh-CN" w:bidi="ar-SA"/>
        </w:rPr>
        <w:t>今年以来，中心共完成</w:t>
      </w:r>
      <w:r>
        <w:rPr>
          <w:rFonts w:hint="eastAsia" w:ascii="仿宋_GB2312" w:hAnsi="仿宋" w:eastAsia="仿宋_GB2312" w:cs="仿宋"/>
          <w:sz w:val="32"/>
          <w:szCs w:val="32"/>
        </w:rPr>
        <w:t>各类交易项目</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2个，成交金额共计</w:t>
      </w:r>
      <w:r>
        <w:rPr>
          <w:rFonts w:hint="eastAsia" w:ascii="仿宋_GB2312" w:hAnsi="仿宋" w:eastAsia="仿宋_GB2312" w:cs="仿宋"/>
          <w:sz w:val="32"/>
          <w:szCs w:val="32"/>
          <w:lang w:val="en-US" w:eastAsia="zh-CN"/>
        </w:rPr>
        <w:t>65780.19</w:t>
      </w:r>
      <w:r>
        <w:rPr>
          <w:rFonts w:hint="eastAsia" w:ascii="仿宋_GB2312" w:hAnsi="仿宋" w:eastAsia="仿宋_GB2312" w:cs="仿宋"/>
          <w:sz w:val="32"/>
          <w:szCs w:val="32"/>
        </w:rPr>
        <w:t>万元，共节约资金</w:t>
      </w:r>
      <w:r>
        <w:rPr>
          <w:rFonts w:hint="eastAsia" w:ascii="仿宋_GB2312" w:hAnsi="仿宋" w:eastAsia="仿宋_GB2312" w:cs="仿宋"/>
          <w:sz w:val="32"/>
          <w:szCs w:val="32"/>
          <w:lang w:val="en-US" w:eastAsia="zh-CN"/>
        </w:rPr>
        <w:t>6563.56</w:t>
      </w:r>
      <w:r>
        <w:rPr>
          <w:rFonts w:hint="eastAsia" w:ascii="仿宋_GB2312" w:hAnsi="仿宋" w:eastAsia="仿宋_GB2312" w:cs="仿宋"/>
          <w:sz w:val="32"/>
          <w:szCs w:val="32"/>
        </w:rPr>
        <w:t>万元。</w:t>
      </w:r>
      <w:r>
        <w:rPr>
          <w:rFonts w:hint="eastAsia" w:ascii="仿宋" w:hAnsi="仿宋" w:eastAsia="仿宋" w:cs="仿宋"/>
          <w:b w:val="0"/>
          <w:color w:val="auto"/>
          <w:kern w:val="2"/>
          <w:sz w:val="30"/>
          <w:szCs w:val="30"/>
          <w:lang w:val="en-US" w:eastAsia="zh-CN" w:bidi="ar-SA"/>
        </w:rPr>
        <w:t>其中房建市政工程11个，成交金额35017.58万元；政府采购项目34个，成交金额7572.77万元；交通工程项目3个，成交金额14175.2万元,水利工程项目3个，成交金额4509.76万元。</w:t>
      </w:r>
    </w:p>
    <w:p w14:paraId="4AA7CADD">
      <w:pPr>
        <w:spacing w:line="576" w:lineRule="exact"/>
        <w:ind w:firstLine="643" w:firstLineChars="200"/>
        <w:rPr>
          <w:rFonts w:hint="eastAsia" w:ascii="仿宋_GB2312" w:hAnsi="仿宋" w:eastAsia="仿宋_GB2312" w:cs="仿宋"/>
          <w:b/>
          <w:bCs/>
          <w:sz w:val="32"/>
          <w:szCs w:val="32"/>
        </w:rPr>
      </w:pPr>
      <w:r>
        <w:rPr>
          <w:rFonts w:hint="eastAsia" w:ascii="仿宋_GB2312" w:hAnsi="仿宋" w:eastAsia="仿宋_GB2312" w:cs="仿宋"/>
          <w:b/>
          <w:bCs/>
          <w:sz w:val="32"/>
          <w:szCs w:val="32"/>
        </w:rPr>
        <w:t>（</w:t>
      </w:r>
      <w:r>
        <w:rPr>
          <w:rFonts w:hint="eastAsia" w:ascii="仿宋_GB2312" w:hAnsi="仿宋" w:eastAsia="仿宋_GB2312" w:cs="仿宋"/>
          <w:b/>
          <w:bCs/>
          <w:sz w:val="32"/>
          <w:szCs w:val="32"/>
          <w:lang w:val="en-US" w:eastAsia="zh-CN"/>
        </w:rPr>
        <w:t>四</w:t>
      </w:r>
      <w:r>
        <w:rPr>
          <w:rFonts w:hint="eastAsia" w:ascii="仿宋_GB2312" w:hAnsi="仿宋" w:eastAsia="仿宋_GB2312" w:cs="仿宋"/>
          <w:b/>
          <w:bCs/>
          <w:sz w:val="32"/>
          <w:szCs w:val="32"/>
        </w:rPr>
        <w:t>）数字政府，安全高效</w:t>
      </w:r>
    </w:p>
    <w:p w14:paraId="221E5974">
      <w:pPr>
        <w:spacing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一是加强数字化项目审批。</w:t>
      </w:r>
      <w:r>
        <w:rPr>
          <w:rFonts w:hint="eastAsia" w:ascii="仿宋_GB2312" w:hAnsi="仿宋" w:eastAsia="仿宋_GB2312" w:cs="仿宋"/>
          <w:sz w:val="32"/>
          <w:szCs w:val="32"/>
        </w:rPr>
        <w:t>按照省市要求，严格落实数字化项目专家评审和部门联审机制，并成功组织了2次数字化项目现场评审。</w:t>
      </w:r>
      <w:r>
        <w:rPr>
          <w:rFonts w:hint="eastAsia" w:ascii="仿宋_GB2312" w:hAnsi="仿宋" w:eastAsia="仿宋_GB2312" w:cs="仿宋"/>
          <w:b/>
          <w:bCs/>
          <w:sz w:val="32"/>
          <w:szCs w:val="32"/>
        </w:rPr>
        <w:t>二是加强政务网络日常维护工作，保障政务网络畅通。</w:t>
      </w:r>
      <w:r>
        <w:rPr>
          <w:rFonts w:hint="eastAsia" w:ascii="仿宋_GB2312" w:hAnsi="仿宋" w:eastAsia="仿宋_GB2312" w:cs="仿宋"/>
          <w:sz w:val="32"/>
          <w:szCs w:val="32"/>
        </w:rPr>
        <w:t>做好全县政务网络日常管理和维护保障工作，及时联系运营商排查处理了县政务网络故障。今年5月份，通过省委网信办网络安全检查，查漏补缺，提高了网络安全水平。县政务外网已经进行了三级等级保护测评，构建了系统化的安全防护平台和视频会议系统，政务部门政务外网接入率达100%。</w:t>
      </w:r>
      <w:r>
        <w:rPr>
          <w:rFonts w:hint="eastAsia" w:ascii="仿宋_GB2312" w:hAnsi="仿宋" w:eastAsia="仿宋_GB2312" w:cs="仿宋"/>
          <w:b/>
          <w:bCs/>
          <w:sz w:val="32"/>
          <w:szCs w:val="32"/>
        </w:rPr>
        <w:t>三是认真保障政务视频会议的正常召开</w:t>
      </w:r>
      <w:r>
        <w:rPr>
          <w:rFonts w:hint="eastAsia" w:ascii="仿宋" w:hAnsi="仿宋" w:eastAsia="仿宋" w:cs="仿宋"/>
          <w:b/>
          <w:sz w:val="32"/>
          <w:szCs w:val="32"/>
        </w:rPr>
        <w:t>。</w:t>
      </w:r>
      <w:r>
        <w:rPr>
          <w:rFonts w:hint="eastAsia" w:ascii="仿宋_GB2312" w:hAnsi="仿宋" w:eastAsia="仿宋_GB2312" w:cs="仿宋"/>
          <w:sz w:val="32"/>
          <w:szCs w:val="32"/>
        </w:rPr>
        <w:t>保障国家、省、市、县各类政务视频会议，全年无一次出现网络故障问题。</w:t>
      </w:r>
    </w:p>
    <w:p w14:paraId="015A7077">
      <w:pPr>
        <w:spacing w:line="576" w:lineRule="exact"/>
        <w:ind w:firstLine="643" w:firstLineChars="200"/>
        <w:rPr>
          <w:rFonts w:hint="eastAsia" w:ascii="仿宋_GB2312" w:hAnsi="仿宋" w:eastAsia="仿宋_GB2312" w:cs="仿宋"/>
          <w:b/>
          <w:bCs/>
          <w:sz w:val="32"/>
          <w:szCs w:val="32"/>
        </w:rPr>
      </w:pPr>
      <w:r>
        <w:rPr>
          <w:rFonts w:hint="eastAsia" w:ascii="仿宋_GB2312" w:hAnsi="仿宋" w:eastAsia="仿宋_GB2312" w:cs="仿宋"/>
          <w:b/>
          <w:bCs/>
          <w:sz w:val="32"/>
          <w:szCs w:val="32"/>
        </w:rPr>
        <w:t>（</w:t>
      </w:r>
      <w:r>
        <w:rPr>
          <w:rFonts w:hint="eastAsia" w:ascii="仿宋_GB2312" w:hAnsi="仿宋" w:eastAsia="仿宋_GB2312" w:cs="仿宋"/>
          <w:b/>
          <w:bCs/>
          <w:sz w:val="32"/>
          <w:szCs w:val="32"/>
          <w:lang w:val="en-US" w:eastAsia="zh-CN"/>
        </w:rPr>
        <w:t>五</w:t>
      </w:r>
      <w:r>
        <w:rPr>
          <w:rFonts w:hint="eastAsia" w:ascii="仿宋_GB2312" w:hAnsi="仿宋" w:eastAsia="仿宋_GB2312" w:cs="仿宋"/>
          <w:b/>
          <w:bCs/>
          <w:sz w:val="32"/>
          <w:szCs w:val="32"/>
        </w:rPr>
        <w:t>）“E呼即办”，为民解忧</w:t>
      </w:r>
    </w:p>
    <w:p w14:paraId="059936FD">
      <w:pPr>
        <w:spacing w:line="576" w:lineRule="exact"/>
        <w:ind w:firstLine="640" w:firstLineChars="200"/>
        <w:rPr>
          <w:rFonts w:hint="eastAsia" w:ascii="仿宋_GB2312" w:hAnsi="仿宋" w:eastAsia="仿宋_GB2312" w:cs="仿宋"/>
          <w:sz w:val="32"/>
          <w:szCs w:val="32"/>
        </w:rPr>
      </w:pPr>
      <w:bookmarkStart w:id="0" w:name="_Hlk179566554"/>
      <w:r>
        <w:rPr>
          <w:rFonts w:hint="eastAsia" w:ascii="仿宋_GB2312" w:hAnsi="仿宋" w:eastAsia="仿宋_GB2312" w:cs="仿宋"/>
          <w:sz w:val="32"/>
          <w:szCs w:val="32"/>
        </w:rPr>
        <w:t>通过抓热线集成实现平台联动</w:t>
      </w:r>
      <w:bookmarkEnd w:id="0"/>
      <w:r>
        <w:rPr>
          <w:rFonts w:hint="eastAsia" w:ascii="仿宋_GB2312" w:hAnsi="仿宋" w:eastAsia="仿宋_GB2312" w:cs="仿宋"/>
          <w:sz w:val="32"/>
          <w:szCs w:val="32"/>
        </w:rPr>
        <w:t>、抓运行机制实现一呼就办、抓力量整合提升满意度等一系列举措，我县“E呼即办”各项考核指标在全市保持领先地位。4月30日，在横峰召开的全市现场交流会上，相关单位作了经验介绍；4月19日和11月26日的全市“E呼即办”工作座谈会，县长陈元和县委潘书记分别作典型经验发言。我县“E呼即办”工作的经验做法先后被上饶日报头版、江西改革、江西日报社江西营商全媒体平台、江西政务服务资讯、新华社、央视网等媒体报道。今年1-1</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月，我县12345 热线共受理群众有效诉求 1</w:t>
      </w:r>
      <w:r>
        <w:rPr>
          <w:rFonts w:hint="eastAsia" w:ascii="仿宋_GB2312" w:hAnsi="仿宋" w:eastAsia="仿宋_GB2312" w:cs="仿宋"/>
          <w:sz w:val="32"/>
          <w:szCs w:val="32"/>
          <w:lang w:val="en-US" w:eastAsia="zh-CN"/>
        </w:rPr>
        <w:t>4326</w:t>
      </w:r>
      <w:r>
        <w:rPr>
          <w:rFonts w:hint="eastAsia" w:ascii="仿宋_GB2312" w:hAnsi="仿宋" w:eastAsia="仿宋_GB2312" w:cs="仿宋"/>
          <w:sz w:val="32"/>
          <w:szCs w:val="32"/>
        </w:rPr>
        <w:t xml:space="preserve"> 件，平均签收时长、平均办结时长、即办件占比、工单限时办结率和群众满意率等主要考核指标均在全市第一方阵。</w:t>
      </w:r>
    </w:p>
    <w:p w14:paraId="61DF2C66">
      <w:pPr>
        <w:spacing w:line="576"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二、2025年工作打算</w:t>
      </w:r>
    </w:p>
    <w:p w14:paraId="49B73C00">
      <w:pPr>
        <w:spacing w:line="576"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2025年我们将提高政治站位、抢抓发展机遇、狠抓工作落实，全力推动我局各项工作上新台阶。</w:t>
      </w:r>
    </w:p>
    <w:p w14:paraId="4C89317A">
      <w:pPr>
        <w:pStyle w:val="10"/>
        <w:numPr>
          <w:ilvl w:val="0"/>
          <w:numId w:val="1"/>
        </w:numPr>
        <w:spacing w:line="576" w:lineRule="exact"/>
        <w:ind w:firstLineChars="0"/>
        <w:rPr>
          <w:rFonts w:ascii="仿宋_GB2312" w:hAnsi="仿宋" w:eastAsia="仿宋_GB2312" w:cs="仿宋"/>
          <w:b/>
          <w:bCs/>
          <w:sz w:val="32"/>
          <w:szCs w:val="32"/>
          <w:lang w:val="en"/>
        </w:rPr>
      </w:pPr>
      <w:r>
        <w:rPr>
          <w:rFonts w:hint="eastAsia" w:ascii="仿宋_GB2312" w:hAnsi="仿宋" w:eastAsia="仿宋_GB2312" w:cs="仿宋"/>
          <w:b/>
          <w:bCs/>
          <w:sz w:val="32"/>
          <w:szCs w:val="32"/>
        </w:rPr>
        <w:t>科学谋划，紧盯项目，协调推进数字政府建设</w:t>
      </w:r>
    </w:p>
    <w:p w14:paraId="005BEEF6">
      <w:pPr>
        <w:spacing w:line="576"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以项目建设为抓手，加大跑项争资力度，包装谋划了专项债项目“横峰县数字政府智慧应用场景 ”，计划总投资1亿元，其中申请专项债8000万元。目前项目已完成可研、立项，正积极配合财政局债审，并根据要求进一步完善申报资料。2025年我局将全力推进项目早日落地，实现我县数字政府软硬件水平更新换代、提质升级。</w:t>
      </w:r>
    </w:p>
    <w:p w14:paraId="75AD0EB6">
      <w:pPr>
        <w:spacing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2、解放思想，实干担当，推动各项改革落实落地</w:t>
      </w:r>
    </w:p>
    <w:p w14:paraId="7CCDD133">
      <w:pPr>
        <w:spacing w:line="576" w:lineRule="exact"/>
        <w:rPr>
          <w:rFonts w:hint="eastAsia" w:ascii="仿宋_GB2312" w:hAnsi="仿宋" w:eastAsia="仿宋_GB2312" w:cs="仿宋"/>
          <w:sz w:val="32"/>
          <w:szCs w:val="32"/>
        </w:rPr>
      </w:pPr>
      <w:r>
        <w:rPr>
          <w:rFonts w:hint="eastAsia" w:ascii="仿宋_GB2312" w:hAnsi="仿宋" w:eastAsia="仿宋_GB2312" w:cs="仿宋"/>
          <w:b/>
          <w:bCs/>
          <w:sz w:val="32"/>
          <w:szCs w:val="32"/>
        </w:rPr>
        <w:t>一是积极推进行政许可事项划转承接准备工作。</w:t>
      </w:r>
      <w:r>
        <w:rPr>
          <w:rFonts w:hint="eastAsia" w:ascii="仿宋_GB2312" w:hAnsi="仿宋" w:eastAsia="仿宋_GB2312" w:cs="仿宋"/>
          <w:sz w:val="32"/>
          <w:szCs w:val="32"/>
        </w:rPr>
        <w:t>通过业务培训，到部门、窗口跟班学习等方式，全面掌握拟划转事项的受理条件、申请资料和办理流程等要素，提前编制办事指南、审批标准清单、权力运行图等规范性文件，梳理事项涉及的自建审批系统、业务专网及专用设备需求，做好划转承接准备，确保划转前后审批服务工作不断档。二是</w:t>
      </w:r>
      <w:r>
        <w:rPr>
          <w:rFonts w:hint="eastAsia" w:ascii="仿宋_GB2312" w:hAnsi="仿宋" w:eastAsia="仿宋_GB2312" w:cs="仿宋"/>
          <w:b/>
          <w:bCs/>
          <w:sz w:val="32"/>
          <w:szCs w:val="32"/>
        </w:rPr>
        <w:t>健全“高效办成一件事”常态化推进机制</w:t>
      </w:r>
      <w:r>
        <w:rPr>
          <w:rFonts w:hint="eastAsia" w:ascii="仿宋_GB2312" w:hAnsi="仿宋" w:eastAsia="仿宋_GB2312" w:cs="仿宋"/>
          <w:sz w:val="32"/>
          <w:szCs w:val="32"/>
        </w:rPr>
        <w:t>。以数字政府建设为抓手，进一步优化办理流程，不断提高办事效率，促进政务服务标准化、规范化、便利化，推进政府治理流程优化、模式创新和履职能力提升。按照上级部署，开展“一表同享”改革，推动部门数据共享互通。</w:t>
      </w:r>
    </w:p>
    <w:p w14:paraId="532C872C">
      <w:pPr>
        <w:spacing w:line="576" w:lineRule="exact"/>
        <w:ind w:firstLine="643" w:firstLineChars="200"/>
        <w:rPr>
          <w:rFonts w:hint="eastAsia" w:ascii="仿宋_GB2312" w:hAnsi="仿宋" w:eastAsia="仿宋_GB2312" w:cs="仿宋"/>
          <w:sz w:val="32"/>
          <w:szCs w:val="32"/>
        </w:rPr>
      </w:pPr>
      <w:r>
        <w:rPr>
          <w:rFonts w:hint="eastAsia" w:ascii="仿宋_GB2312" w:hAnsi="仿宋" w:eastAsia="仿宋_GB2312" w:cs="仿宋"/>
          <w:b/>
          <w:bCs/>
          <w:sz w:val="32"/>
          <w:szCs w:val="32"/>
        </w:rPr>
        <w:t>3、倾听诉求，分析数据，为县委政府决策做参考</w:t>
      </w:r>
    </w:p>
    <w:p w14:paraId="046382D8">
      <w:pPr>
        <w:spacing w:line="576" w:lineRule="exact"/>
        <w:ind w:firstLine="640" w:firstLineChars="200"/>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结合“E呼即办”平台汇聚各类群众诉求的特点，在完成受理、派发、回访工单等工作的基础上，提升联指中心对“E呼即办”诉求工单的数据分析能力，梳理群众和企业的诉求集中点，从诉求中分析出部门和单位工作的短板和弱项，为县委政府的决策做参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96277A"/>
    <w:multiLevelType w:val="multilevel"/>
    <w:tmpl w:val="3F96277A"/>
    <w:lvl w:ilvl="0" w:tentative="0">
      <w:start w:val="1"/>
      <w:numFmt w:val="decimal"/>
      <w:lvlText w:val="%1、"/>
      <w:lvlJc w:val="left"/>
      <w:pPr>
        <w:ind w:left="1347" w:hanging="720"/>
      </w:pPr>
      <w:rPr>
        <w:rFonts w:hint="default"/>
      </w:rPr>
    </w:lvl>
    <w:lvl w:ilvl="1" w:tentative="0">
      <w:start w:val="1"/>
      <w:numFmt w:val="lowerLetter"/>
      <w:lvlText w:val="%2)"/>
      <w:lvlJc w:val="left"/>
      <w:pPr>
        <w:ind w:left="1507" w:hanging="440"/>
      </w:pPr>
    </w:lvl>
    <w:lvl w:ilvl="2" w:tentative="0">
      <w:start w:val="1"/>
      <w:numFmt w:val="lowerRoman"/>
      <w:lvlText w:val="%3."/>
      <w:lvlJc w:val="right"/>
      <w:pPr>
        <w:ind w:left="1947" w:hanging="440"/>
      </w:pPr>
    </w:lvl>
    <w:lvl w:ilvl="3" w:tentative="0">
      <w:start w:val="1"/>
      <w:numFmt w:val="decimal"/>
      <w:lvlText w:val="%4."/>
      <w:lvlJc w:val="left"/>
      <w:pPr>
        <w:ind w:left="2387" w:hanging="440"/>
      </w:pPr>
    </w:lvl>
    <w:lvl w:ilvl="4" w:tentative="0">
      <w:start w:val="1"/>
      <w:numFmt w:val="lowerLetter"/>
      <w:lvlText w:val="%5)"/>
      <w:lvlJc w:val="left"/>
      <w:pPr>
        <w:ind w:left="2827" w:hanging="440"/>
      </w:pPr>
    </w:lvl>
    <w:lvl w:ilvl="5" w:tentative="0">
      <w:start w:val="1"/>
      <w:numFmt w:val="lowerRoman"/>
      <w:lvlText w:val="%6."/>
      <w:lvlJc w:val="right"/>
      <w:pPr>
        <w:ind w:left="3267" w:hanging="440"/>
      </w:pPr>
    </w:lvl>
    <w:lvl w:ilvl="6" w:tentative="0">
      <w:start w:val="1"/>
      <w:numFmt w:val="decimal"/>
      <w:lvlText w:val="%7."/>
      <w:lvlJc w:val="left"/>
      <w:pPr>
        <w:ind w:left="3707" w:hanging="440"/>
      </w:pPr>
    </w:lvl>
    <w:lvl w:ilvl="7" w:tentative="0">
      <w:start w:val="1"/>
      <w:numFmt w:val="lowerLetter"/>
      <w:lvlText w:val="%8)"/>
      <w:lvlJc w:val="left"/>
      <w:pPr>
        <w:ind w:left="4147" w:hanging="440"/>
      </w:pPr>
    </w:lvl>
    <w:lvl w:ilvl="8" w:tentative="0">
      <w:start w:val="1"/>
      <w:numFmt w:val="lowerRoman"/>
      <w:lvlText w:val="%9."/>
      <w:lvlJc w:val="right"/>
      <w:pPr>
        <w:ind w:left="4587"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MWFhZTA4ODQ0YTk2MTQ3NjI2OTQ2ZjNiZWY4YTAifQ=="/>
  </w:docVars>
  <w:rsids>
    <w:rsidRoot w:val="61857E81"/>
    <w:rsid w:val="00003847"/>
    <w:rsid w:val="00064AC0"/>
    <w:rsid w:val="00387642"/>
    <w:rsid w:val="00493191"/>
    <w:rsid w:val="0056661E"/>
    <w:rsid w:val="005A3F03"/>
    <w:rsid w:val="00823F6B"/>
    <w:rsid w:val="0085230A"/>
    <w:rsid w:val="00A92A7C"/>
    <w:rsid w:val="00C71CE8"/>
    <w:rsid w:val="00D132C1"/>
    <w:rsid w:val="00E93D1C"/>
    <w:rsid w:val="00EA0AE5"/>
    <w:rsid w:val="00F55187"/>
    <w:rsid w:val="00F9479D"/>
    <w:rsid w:val="04744EA0"/>
    <w:rsid w:val="04840333"/>
    <w:rsid w:val="068A5032"/>
    <w:rsid w:val="082D1D6A"/>
    <w:rsid w:val="08D74E8D"/>
    <w:rsid w:val="0DB55F30"/>
    <w:rsid w:val="155A57D1"/>
    <w:rsid w:val="175207E1"/>
    <w:rsid w:val="1A6F1CDF"/>
    <w:rsid w:val="1BEC46C1"/>
    <w:rsid w:val="1E6E4153"/>
    <w:rsid w:val="229C6526"/>
    <w:rsid w:val="2A1A0CEB"/>
    <w:rsid w:val="2ACF7D27"/>
    <w:rsid w:val="2B20653D"/>
    <w:rsid w:val="2B395ACB"/>
    <w:rsid w:val="2B6E6ED5"/>
    <w:rsid w:val="2DD625CA"/>
    <w:rsid w:val="2E060932"/>
    <w:rsid w:val="2FC84083"/>
    <w:rsid w:val="2FFF65BD"/>
    <w:rsid w:val="31887CDC"/>
    <w:rsid w:val="339A4C4A"/>
    <w:rsid w:val="343E7308"/>
    <w:rsid w:val="370276D6"/>
    <w:rsid w:val="3B965D36"/>
    <w:rsid w:val="3C3F77ED"/>
    <w:rsid w:val="3FFFA470"/>
    <w:rsid w:val="421C00C6"/>
    <w:rsid w:val="430261C7"/>
    <w:rsid w:val="451C2102"/>
    <w:rsid w:val="456F23DB"/>
    <w:rsid w:val="45F61D37"/>
    <w:rsid w:val="46E510A4"/>
    <w:rsid w:val="474A7D1B"/>
    <w:rsid w:val="4B3628CB"/>
    <w:rsid w:val="4C8158BA"/>
    <w:rsid w:val="4DCD4013"/>
    <w:rsid w:val="4E2D7CD0"/>
    <w:rsid w:val="519270AF"/>
    <w:rsid w:val="547C573F"/>
    <w:rsid w:val="57652E67"/>
    <w:rsid w:val="57FF9BA1"/>
    <w:rsid w:val="5B2846A2"/>
    <w:rsid w:val="5F792FE9"/>
    <w:rsid w:val="604D003F"/>
    <w:rsid w:val="611674FF"/>
    <w:rsid w:val="61857E81"/>
    <w:rsid w:val="63841B63"/>
    <w:rsid w:val="64153158"/>
    <w:rsid w:val="690B6DDE"/>
    <w:rsid w:val="6C2F5282"/>
    <w:rsid w:val="6CB07C10"/>
    <w:rsid w:val="6DCD7D1E"/>
    <w:rsid w:val="70AC59E2"/>
    <w:rsid w:val="72F31BD3"/>
    <w:rsid w:val="79227C84"/>
    <w:rsid w:val="796D58DA"/>
    <w:rsid w:val="7AD63D87"/>
    <w:rsid w:val="7B4F7695"/>
    <w:rsid w:val="7C812797"/>
    <w:rsid w:val="7DE86CCF"/>
    <w:rsid w:val="7F7D52CC"/>
    <w:rsid w:val="9FDD744F"/>
    <w:rsid w:val="B3BF75F5"/>
    <w:rsid w:val="FBFA4DD5"/>
    <w:rsid w:val="FEBBD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line="640" w:lineRule="exact"/>
      <w:ind w:firstLine="883" w:firstLineChars="200"/>
      <w:outlineLvl w:val="1"/>
    </w:pPr>
    <w:rPr>
      <w:rFonts w:ascii="仿宋_GB2312" w:hAnsi="仿宋_GB2312" w:eastAsia="仿宋_GB2312"/>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9"/>
    <w:qFormat/>
    <w:uiPriority w:val="0"/>
    <w:pPr>
      <w:spacing w:after="120"/>
    </w:pPr>
  </w:style>
  <w:style w:type="paragraph" w:styleId="4">
    <w:name w:val="Body Text First Indent"/>
    <w:basedOn w:val="3"/>
    <w:qFormat/>
    <w:uiPriority w:val="99"/>
    <w:pPr>
      <w:ind w:firstLine="420" w:firstLineChars="100"/>
    </w:pPr>
    <w:rPr>
      <w:szCs w:val="22"/>
    </w:rPr>
  </w:style>
  <w:style w:type="paragraph" w:styleId="5">
    <w:name w:val="Normal (Web)"/>
    <w:basedOn w:val="1"/>
    <w:qFormat/>
    <w:uiPriority w:val="0"/>
    <w:pPr>
      <w:spacing w:before="100" w:beforeAutospacing="1" w:after="100" w:afterAutospacing="1"/>
      <w:jc w:val="left"/>
    </w:pPr>
    <w:rPr>
      <w:kern w:val="0"/>
      <w:sz w:val="24"/>
    </w:rPr>
  </w:style>
  <w:style w:type="paragraph" w:customStyle="1" w:styleId="8">
    <w:name w:val="正文文本首行缩进 21"/>
    <w:basedOn w:val="1"/>
    <w:qFormat/>
    <w:uiPriority w:val="0"/>
    <w:pPr>
      <w:ind w:left="420" w:leftChars="200" w:firstLine="210"/>
    </w:pPr>
    <w:rPr>
      <w:rFonts w:cs="Calibri"/>
      <w:szCs w:val="21"/>
    </w:rPr>
  </w:style>
  <w:style w:type="character" w:customStyle="1" w:styleId="9">
    <w:name w:val="正文文本 字符"/>
    <w:link w:val="3"/>
    <w:qFormat/>
    <w:uiPriority w:val="0"/>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3235</Words>
  <Characters>3362</Characters>
  <Lines>15</Lines>
  <Paragraphs>4</Paragraphs>
  <TotalTime>4</TotalTime>
  <ScaleCrop>false</ScaleCrop>
  <LinksUpToDate>false</LinksUpToDate>
  <CharactersWithSpaces>3366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2024-11-14T18:55:00Z</dcterms:created>
  <dc:creator>上善若水</dc:creator>
  <cp:lastModifiedBy>上善若水</cp:lastModifiedBy>
  <cp:lastPrinted>2024-11-18T17:07:00Z</cp:lastPrinted>
  <dcterms:modified xsi:type="dcterms:W3CDTF">2025-09-04T01:43:19Z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B7D28977B3C645958DDDD6023886C396_13</vt:lpwstr>
  </property>
  <property fmtid="{D5CDD505-2E9C-101B-9397-08002B2CF9AE}" pid="4" name="KSOTemplateDocerSaveRecord">
    <vt:lpwstr>eyJoZGlkIjoiMGJhMmY3ZTUzNzkwZTY4MWNmM2E4ZGQ2NmRlYWRmZDUiLCJ1c2VySWQiOiI1MzI2MTU3NTUifQ==</vt:lpwstr>
  </property>
</Properties>
</file>