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AFA1">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横峰县人民政府</w:t>
      </w:r>
    </w:p>
    <w:p w14:paraId="02D18A9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关于横峰县瓶装液化气标准化充装站建设项目拟征收土地补偿安置方案公告</w:t>
      </w:r>
    </w:p>
    <w:p w14:paraId="7F5F7A15">
      <w:pPr>
        <w:pStyle w:val="2"/>
        <w:rPr>
          <w:rFonts w:hint="eastAsia"/>
          <w:lang w:val="en-US" w:eastAsia="zh-CN"/>
        </w:rPr>
      </w:pPr>
    </w:p>
    <w:p w14:paraId="2A8CA6C8">
      <w:pPr>
        <w:pStyle w:val="2"/>
        <w:keepNext w:val="0"/>
        <w:keepLines w:val="0"/>
        <w:pageBreakBefore w:val="0"/>
        <w:widowControl w:val="0"/>
        <w:kinsoku/>
        <w:overflowPunct/>
        <w:topLinePunct w:val="0"/>
        <w:autoSpaceDE/>
        <w:autoSpaceDN/>
        <w:bidi w:val="0"/>
        <w:adjustRightInd/>
        <w:spacing w:line="430" w:lineRule="exact"/>
        <w:textAlignment w:val="auto"/>
        <w:rPr>
          <w:rFonts w:hint="eastAsia"/>
          <w:lang w:val="en-US" w:eastAsia="zh-CN"/>
        </w:rPr>
      </w:pPr>
    </w:p>
    <w:p w14:paraId="02FB26BD">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中华人民共和国土地管理法》《中华人民共和国土地管理法实施条例》《江西省征收土地管理办法》《江西省人民政府关于公布全省征地区片综合地价的通知》（赣府字〔2023〕23号）《横峰县人民政府关于调整全县征地补偿标准的通知》（横府字〔2023〕23号）《横峰县规范征地管理工作的实施意见》（横府发〔2024〕1号）等规定，依据社会稳定风险评估结果和土地现状调查结果，横峰县人民政府组织相关部门拟订了横峰县瓶装液化气标准化充装站建设项目拟征收土地补偿安置方案。现公告如下:</w:t>
      </w:r>
    </w:p>
    <w:p w14:paraId="19044955">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一、拟征收范围</w:t>
      </w:r>
      <w:r>
        <w:rPr>
          <w:rFonts w:hint="eastAsia" w:ascii="仿宋" w:hAnsi="仿宋" w:eastAsia="仿宋" w:cs="仿宋"/>
          <w:sz w:val="30"/>
          <w:szCs w:val="30"/>
          <w:lang w:val="en-US" w:eastAsia="zh-CN"/>
        </w:rPr>
        <w:t xml:space="preserve"> </w:t>
      </w:r>
    </w:p>
    <w:p w14:paraId="3B19845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本次拟征地四至范围：</w:t>
      </w:r>
      <w:r>
        <w:rPr>
          <w:rFonts w:hint="eastAsia" w:ascii="仿宋_GB2312" w:eastAsia="仿宋_GB2312"/>
          <w:kern w:val="2"/>
          <w:sz w:val="32"/>
          <w:szCs w:val="32"/>
          <w:lang w:val="en-US" w:eastAsia="zh-CN"/>
        </w:rPr>
        <w:t>沪昆铁路线以北，解放东路以南，城郊村以东，银珠亭以西</w:t>
      </w:r>
      <w:r>
        <w:rPr>
          <w:rFonts w:hint="eastAsia" w:ascii="仿宋_GB2312" w:hAnsi="仿宋_GB2312" w:eastAsia="仿宋_GB2312" w:cs="仿宋_GB2312"/>
          <w:sz w:val="32"/>
          <w:szCs w:val="32"/>
          <w:lang w:val="en-US" w:eastAsia="zh-CN"/>
        </w:rPr>
        <w:t>。经现状调查确认,本次拟征地块土地产权明晰，界址清楚，没有争议。涉及兴安街道</w:t>
      </w:r>
      <w:r>
        <w:rPr>
          <w:rFonts w:hint="eastAsia" w:ascii="仿宋_GB2312" w:eastAsia="仿宋_GB2312"/>
          <w:kern w:val="2"/>
          <w:sz w:val="32"/>
          <w:szCs w:val="32"/>
          <w:lang w:val="en-US" w:eastAsia="zh-CN"/>
        </w:rPr>
        <w:t>城郊村委会上窑口组</w:t>
      </w:r>
      <w:r>
        <w:rPr>
          <w:rFonts w:hint="eastAsia" w:ascii="仿宋_GB2312" w:hAnsi="仿宋_GB2312" w:eastAsia="仿宋_GB2312" w:cs="仿宋_GB2312"/>
          <w:sz w:val="32"/>
          <w:szCs w:val="32"/>
          <w:lang w:val="en-US" w:eastAsia="zh-CN"/>
        </w:rPr>
        <w:t>。</w:t>
      </w:r>
    </w:p>
    <w:p w14:paraId="64A38D3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二、征收目的</w:t>
      </w:r>
      <w:r>
        <w:rPr>
          <w:rFonts w:hint="eastAsia" w:ascii="仿宋" w:hAnsi="仿宋" w:eastAsia="仿宋" w:cs="仿宋"/>
          <w:sz w:val="30"/>
          <w:szCs w:val="30"/>
          <w:lang w:val="en-US" w:eastAsia="zh-CN"/>
        </w:rPr>
        <w:t xml:space="preserve">  </w:t>
      </w:r>
    </w:p>
    <w:p w14:paraId="1BA9DBAB">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因公共利益的需要，此次拟征收土地规划用途为能源、交通、水利、通信、邮政等基础设施的建设，拟用于横峰县瓶装液化气标准化充装站建设项目建设。</w:t>
      </w:r>
    </w:p>
    <w:p w14:paraId="049D287B">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三、土地现状调查结果</w:t>
      </w:r>
      <w:r>
        <w:rPr>
          <w:rFonts w:hint="eastAsia" w:ascii="仿宋" w:hAnsi="仿宋" w:eastAsia="仿宋" w:cs="仿宋"/>
          <w:sz w:val="30"/>
          <w:szCs w:val="30"/>
          <w:lang w:val="en-US" w:eastAsia="zh-CN"/>
        </w:rPr>
        <w:t xml:space="preserve"> </w:t>
      </w:r>
    </w:p>
    <w:p w14:paraId="367F83AE">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经勘测定界及调查确认，本次拟征地面积5.205亩，</w:t>
      </w:r>
      <w:r>
        <w:rPr>
          <w:rFonts w:hint="eastAsia" w:ascii="仿宋_GB2312" w:hAnsi="仿宋_GB2312" w:eastAsia="仿宋_GB2312" w:cs="仿宋_GB2312"/>
          <w:sz w:val="32"/>
          <w:szCs w:val="32"/>
          <w:lang w:val="en-US" w:eastAsia="zh-CN"/>
        </w:rPr>
        <w:t>其中：兴安街道城郊村委会上窑口组园地4.351亩、建设用地0.324亩、天然林地0.53亩。</w:t>
      </w:r>
    </w:p>
    <w:p w14:paraId="221648EA">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 xml:space="preserve">四、征地补偿安置及费用支付对象、方式和期限 </w:t>
      </w:r>
    </w:p>
    <w:p w14:paraId="78892C01">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（一）征地补偿安置情况</w:t>
      </w:r>
    </w:p>
    <w:p w14:paraId="62CB20EF">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 xml:space="preserve">1、土地补偿费和安置补助费 </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658"/>
        <w:gridCol w:w="1609"/>
        <w:gridCol w:w="1651"/>
        <w:gridCol w:w="1528"/>
      </w:tblGrid>
      <w:tr w14:paraId="38DF2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noWrap w:val="0"/>
            <w:vAlign w:val="center"/>
          </w:tcPr>
          <w:p w14:paraId="3FE5D2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lang w:val="en-US" w:eastAsia="zh-CN"/>
              </w:rPr>
              <w:t>土地权属</w:t>
            </w:r>
            <w:r>
              <w:rPr>
                <w:rFonts w:hint="eastAsia" w:ascii="仿宋_GB2312" w:hAnsi="仿宋_GB2312" w:eastAsia="仿宋_GB2312" w:cs="仿宋_GB2312"/>
                <w:b/>
                <w:bCs/>
                <w:color w:val="000000"/>
                <w:kern w:val="0"/>
                <w:sz w:val="28"/>
                <w:szCs w:val="28"/>
              </w:rPr>
              <w:t>单位</w:t>
            </w:r>
          </w:p>
        </w:tc>
        <w:tc>
          <w:tcPr>
            <w:tcW w:w="956" w:type="pct"/>
            <w:noWrap w:val="0"/>
            <w:vAlign w:val="center"/>
          </w:tcPr>
          <w:p w14:paraId="6541A0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地类</w:t>
            </w:r>
          </w:p>
        </w:tc>
        <w:tc>
          <w:tcPr>
            <w:tcW w:w="928" w:type="pct"/>
            <w:noWrap w:val="0"/>
            <w:vAlign w:val="center"/>
          </w:tcPr>
          <w:p w14:paraId="141D8A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面积(亩)</w:t>
            </w:r>
          </w:p>
        </w:tc>
        <w:tc>
          <w:tcPr>
            <w:tcW w:w="952" w:type="pct"/>
            <w:noWrap w:val="0"/>
            <w:vAlign w:val="center"/>
          </w:tcPr>
          <w:p w14:paraId="257483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补偿标准  (</w:t>
            </w:r>
            <w:r>
              <w:rPr>
                <w:rFonts w:hint="eastAsia" w:ascii="仿宋_GB2312" w:hAnsi="仿宋_GB2312" w:eastAsia="仿宋_GB2312" w:cs="仿宋_GB2312"/>
                <w:b/>
                <w:bCs/>
                <w:color w:val="000000"/>
                <w:kern w:val="0"/>
                <w:sz w:val="28"/>
                <w:szCs w:val="28"/>
                <w:lang w:val="en-US" w:eastAsia="zh-CN"/>
              </w:rPr>
              <w:t>万</w:t>
            </w:r>
            <w:r>
              <w:rPr>
                <w:rFonts w:hint="eastAsia" w:ascii="仿宋_GB2312" w:hAnsi="仿宋_GB2312" w:eastAsia="仿宋_GB2312" w:cs="仿宋_GB2312"/>
                <w:b/>
                <w:bCs/>
                <w:color w:val="000000"/>
                <w:kern w:val="0"/>
                <w:sz w:val="28"/>
                <w:szCs w:val="28"/>
              </w:rPr>
              <w:t>元/亩)</w:t>
            </w:r>
          </w:p>
        </w:tc>
        <w:tc>
          <w:tcPr>
            <w:tcW w:w="881" w:type="pct"/>
            <w:noWrap w:val="0"/>
            <w:vAlign w:val="center"/>
          </w:tcPr>
          <w:p w14:paraId="1E66EF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补偿金额   （万元）</w:t>
            </w:r>
          </w:p>
        </w:tc>
      </w:tr>
      <w:tr w14:paraId="756F4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4B9F0E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兴安街道城郊村委会上窑口组</w:t>
            </w:r>
          </w:p>
        </w:tc>
        <w:tc>
          <w:tcPr>
            <w:tcW w:w="956" w:type="pct"/>
            <w:shd w:val="clear" w:color="auto" w:fill="auto"/>
            <w:noWrap w:val="0"/>
            <w:vAlign w:val="center"/>
          </w:tcPr>
          <w:p w14:paraId="76D42C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5A5869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4.351</w:t>
            </w:r>
          </w:p>
        </w:tc>
        <w:tc>
          <w:tcPr>
            <w:tcW w:w="952" w:type="pct"/>
            <w:shd w:val="clear" w:color="auto" w:fill="auto"/>
            <w:noWrap w:val="0"/>
            <w:vAlign w:val="center"/>
          </w:tcPr>
          <w:p w14:paraId="41BD21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011843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20.0146</w:t>
            </w:r>
            <w:r>
              <w:rPr>
                <w:rFonts w:hint="eastAsia" w:ascii="仿宋" w:hAnsi="仿宋" w:eastAsia="仿宋" w:cs="仿宋"/>
                <w:color w:val="000000"/>
                <w:kern w:val="0"/>
                <w:sz w:val="28"/>
                <w:szCs w:val="28"/>
                <w:lang w:val="en-US" w:eastAsia="zh-CN"/>
              </w:rPr>
              <w:fldChar w:fldCharType="end"/>
            </w:r>
          </w:p>
        </w:tc>
      </w:tr>
      <w:tr w14:paraId="2BDA8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tcBorders/>
            <w:shd w:val="clear" w:color="auto" w:fill="auto"/>
            <w:noWrap w:val="0"/>
            <w:vAlign w:val="center"/>
          </w:tcPr>
          <w:p w14:paraId="37E4DF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52ED0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310951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0.324</w:t>
            </w:r>
          </w:p>
        </w:tc>
        <w:tc>
          <w:tcPr>
            <w:tcW w:w="952" w:type="pct"/>
            <w:shd w:val="clear" w:color="auto" w:fill="auto"/>
            <w:noWrap w:val="0"/>
            <w:vAlign w:val="center"/>
          </w:tcPr>
          <w:p w14:paraId="0205F2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701286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1.4904</w:t>
            </w:r>
            <w:r>
              <w:rPr>
                <w:rFonts w:hint="eastAsia" w:ascii="仿宋" w:hAnsi="仿宋" w:eastAsia="仿宋" w:cs="仿宋"/>
                <w:color w:val="000000"/>
                <w:kern w:val="0"/>
                <w:sz w:val="28"/>
                <w:szCs w:val="28"/>
                <w:lang w:val="en-US" w:eastAsia="zh-CN"/>
              </w:rPr>
              <w:fldChar w:fldCharType="end"/>
            </w:r>
          </w:p>
        </w:tc>
      </w:tr>
      <w:tr w14:paraId="213D7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tcBorders/>
            <w:shd w:val="clear" w:color="auto" w:fill="auto"/>
            <w:noWrap w:val="0"/>
            <w:vAlign w:val="center"/>
          </w:tcPr>
          <w:p w14:paraId="61ED3F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15CE811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5ABE67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0.53</w:t>
            </w:r>
          </w:p>
        </w:tc>
        <w:tc>
          <w:tcPr>
            <w:tcW w:w="952" w:type="pct"/>
            <w:shd w:val="clear" w:color="auto" w:fill="auto"/>
            <w:noWrap w:val="0"/>
            <w:vAlign w:val="center"/>
          </w:tcPr>
          <w:p w14:paraId="0979B1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3</w:t>
            </w:r>
            <w:bookmarkStart w:id="0" w:name="_GoBack"/>
            <w:bookmarkEnd w:id="0"/>
            <w:r>
              <w:rPr>
                <w:rFonts w:hint="eastAsia" w:ascii="仿宋" w:hAnsi="仿宋" w:eastAsia="仿宋" w:cs="仿宋"/>
                <w:color w:val="000000"/>
                <w:kern w:val="0"/>
                <w:sz w:val="28"/>
                <w:szCs w:val="28"/>
                <w:lang w:val="en-US" w:eastAsia="zh-CN"/>
              </w:rPr>
              <w:t>.22</w:t>
            </w:r>
          </w:p>
        </w:tc>
        <w:tc>
          <w:tcPr>
            <w:tcW w:w="881" w:type="pct"/>
            <w:shd w:val="clear" w:color="auto" w:fill="auto"/>
            <w:noWrap w:val="0"/>
            <w:vAlign w:val="center"/>
          </w:tcPr>
          <w:p w14:paraId="6685E2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1.7066</w:t>
            </w:r>
            <w:r>
              <w:rPr>
                <w:rFonts w:hint="eastAsia" w:ascii="仿宋" w:hAnsi="仿宋" w:eastAsia="仿宋" w:cs="仿宋"/>
                <w:color w:val="000000"/>
                <w:kern w:val="0"/>
                <w:sz w:val="28"/>
                <w:szCs w:val="28"/>
                <w:lang w:val="en-US" w:eastAsia="zh-CN"/>
              </w:rPr>
              <w:fldChar w:fldCharType="end"/>
            </w:r>
          </w:p>
        </w:tc>
      </w:tr>
      <w:tr w14:paraId="2E626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73168F13">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928" w:type="pct"/>
            <w:shd w:val="clear" w:color="auto" w:fill="auto"/>
            <w:noWrap w:val="0"/>
            <w:vAlign w:val="center"/>
          </w:tcPr>
          <w:p w14:paraId="6298A284">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5.205</w:t>
            </w:r>
            <w:r>
              <w:rPr>
                <w:rFonts w:hint="eastAsia" w:ascii="仿宋_GB2312" w:hAnsi="仿宋_GB2312" w:eastAsia="仿宋_GB2312" w:cs="仿宋_GB2312"/>
                <w:b/>
                <w:bCs/>
                <w:color w:val="000000"/>
                <w:kern w:val="0"/>
                <w:sz w:val="28"/>
                <w:szCs w:val="28"/>
                <w:lang w:val="en-US" w:eastAsia="zh-CN"/>
              </w:rPr>
              <w:fldChar w:fldCharType="end"/>
            </w:r>
          </w:p>
        </w:tc>
        <w:tc>
          <w:tcPr>
            <w:tcW w:w="952" w:type="pct"/>
            <w:noWrap w:val="0"/>
            <w:vAlign w:val="center"/>
          </w:tcPr>
          <w:p w14:paraId="3BB10392">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noWrap w:val="0"/>
            <w:vAlign w:val="center"/>
          </w:tcPr>
          <w:p w14:paraId="6C171686">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sz w:val="28"/>
                <w:szCs w:val="28"/>
              </w:rPr>
              <w:t>23.2116</w:t>
            </w:r>
            <w:r>
              <w:rPr>
                <w:rFonts w:hint="eastAsia" w:ascii="仿宋_GB2312" w:hAnsi="仿宋_GB2312" w:eastAsia="仿宋_GB2312" w:cs="仿宋_GB2312"/>
                <w:b/>
                <w:bCs/>
                <w:color w:val="000000"/>
                <w:kern w:val="0"/>
                <w:sz w:val="28"/>
                <w:szCs w:val="28"/>
                <w:lang w:val="en-US" w:eastAsia="zh-CN"/>
              </w:rPr>
              <w:fldChar w:fldCharType="end"/>
            </w:r>
          </w:p>
        </w:tc>
      </w:tr>
    </w:tbl>
    <w:p w14:paraId="5D054DD0">
      <w:pPr>
        <w:pStyle w:val="2"/>
        <w:rPr>
          <w:rFonts w:hint="eastAsia"/>
          <w:lang w:val="en-US" w:eastAsia="zh-CN"/>
        </w:rPr>
      </w:pPr>
    </w:p>
    <w:p w14:paraId="3912188E">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firstLine="643" w:firstLine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2、地上青苗补偿费</w:t>
      </w:r>
    </w:p>
    <w:tbl>
      <w:tblPr>
        <w:tblStyle w:val="3"/>
        <w:tblpPr w:leftFromText="180" w:rightFromText="180" w:vertAnchor="text" w:horzAnchor="page" w:tblpXSpec="center" w:tblpY="184"/>
        <w:tblOverlap w:val="never"/>
        <w:tblW w:w="50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0"/>
        <w:gridCol w:w="1657"/>
        <w:gridCol w:w="1608"/>
        <w:gridCol w:w="1650"/>
        <w:gridCol w:w="1527"/>
      </w:tblGrid>
      <w:tr w14:paraId="773E6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noWrap w:val="0"/>
            <w:vAlign w:val="center"/>
          </w:tcPr>
          <w:p w14:paraId="1C31CC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56" w:type="pct"/>
            <w:noWrap w:val="0"/>
            <w:vAlign w:val="center"/>
          </w:tcPr>
          <w:p w14:paraId="130179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928" w:type="pct"/>
            <w:noWrap w:val="0"/>
            <w:vAlign w:val="center"/>
          </w:tcPr>
          <w:p w14:paraId="674B17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52" w:type="pct"/>
            <w:noWrap w:val="0"/>
            <w:vAlign w:val="center"/>
          </w:tcPr>
          <w:p w14:paraId="76622C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w:t>
            </w:r>
            <w:r>
              <w:rPr>
                <w:rFonts w:hint="eastAsia" w:ascii="仿宋_GB2312" w:hAnsi="仿宋_GB2312" w:eastAsia="仿宋_GB2312" w:cs="仿宋_GB2312"/>
                <w:color w:val="000000"/>
                <w:kern w:val="0"/>
                <w:sz w:val="28"/>
                <w:szCs w:val="28"/>
                <w:lang w:val="en-US" w:eastAsia="zh-CN"/>
              </w:rPr>
              <w:t>万</w:t>
            </w:r>
            <w:r>
              <w:rPr>
                <w:rFonts w:hint="eastAsia" w:ascii="仿宋_GB2312" w:hAnsi="仿宋_GB2312" w:eastAsia="仿宋_GB2312" w:cs="仿宋_GB2312"/>
                <w:color w:val="000000"/>
                <w:kern w:val="0"/>
                <w:sz w:val="28"/>
                <w:szCs w:val="28"/>
              </w:rPr>
              <w:t>元/亩)</w:t>
            </w:r>
          </w:p>
        </w:tc>
        <w:tc>
          <w:tcPr>
            <w:tcW w:w="881" w:type="pct"/>
            <w:noWrap w:val="0"/>
            <w:vAlign w:val="center"/>
          </w:tcPr>
          <w:p w14:paraId="664A4C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32B53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16C1C5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兴安街道城郊村委会上窑口组</w:t>
            </w:r>
          </w:p>
        </w:tc>
        <w:tc>
          <w:tcPr>
            <w:tcW w:w="956" w:type="pct"/>
            <w:shd w:val="clear" w:color="auto" w:fill="auto"/>
            <w:noWrap w:val="0"/>
            <w:vAlign w:val="center"/>
          </w:tcPr>
          <w:p w14:paraId="644D40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2945BA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4.351</w:t>
            </w:r>
          </w:p>
        </w:tc>
        <w:tc>
          <w:tcPr>
            <w:tcW w:w="952" w:type="pct"/>
            <w:shd w:val="clear" w:color="auto" w:fill="auto"/>
            <w:noWrap w:val="0"/>
            <w:vAlign w:val="center"/>
          </w:tcPr>
          <w:p w14:paraId="2E9FF2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bidi="ar-SA"/>
              </w:rPr>
              <w:t>0.12</w:t>
            </w:r>
          </w:p>
        </w:tc>
        <w:tc>
          <w:tcPr>
            <w:tcW w:w="881" w:type="pct"/>
            <w:shd w:val="clear" w:color="auto" w:fill="auto"/>
            <w:noWrap w:val="0"/>
            <w:vAlign w:val="center"/>
          </w:tcPr>
          <w:p w14:paraId="360620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0.5221</w:t>
            </w:r>
            <w:r>
              <w:rPr>
                <w:rFonts w:hint="eastAsia" w:ascii="仿宋" w:hAnsi="仿宋" w:eastAsia="仿宋" w:cs="仿宋"/>
                <w:color w:val="000000"/>
                <w:kern w:val="0"/>
                <w:sz w:val="28"/>
                <w:szCs w:val="28"/>
                <w:lang w:val="en-US" w:eastAsia="zh-CN"/>
              </w:rPr>
              <w:fldChar w:fldCharType="end"/>
            </w:r>
          </w:p>
        </w:tc>
      </w:tr>
      <w:tr w14:paraId="0223A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tcBorders/>
            <w:shd w:val="clear" w:color="auto" w:fill="auto"/>
            <w:noWrap w:val="0"/>
            <w:vAlign w:val="center"/>
          </w:tcPr>
          <w:p w14:paraId="546912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08620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580ADA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0.53</w:t>
            </w:r>
          </w:p>
        </w:tc>
        <w:tc>
          <w:tcPr>
            <w:tcW w:w="952" w:type="pct"/>
            <w:shd w:val="clear" w:color="auto" w:fill="auto"/>
            <w:noWrap w:val="0"/>
            <w:vAlign w:val="center"/>
          </w:tcPr>
          <w:p w14:paraId="615B2F4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5920C9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0.0318</w:t>
            </w:r>
            <w:r>
              <w:rPr>
                <w:rFonts w:hint="eastAsia" w:ascii="仿宋" w:hAnsi="仿宋" w:eastAsia="仿宋" w:cs="仿宋"/>
                <w:color w:val="000000"/>
                <w:kern w:val="0"/>
                <w:sz w:val="28"/>
                <w:szCs w:val="28"/>
                <w:lang w:val="en-US" w:eastAsia="zh-CN"/>
              </w:rPr>
              <w:fldChar w:fldCharType="end"/>
            </w:r>
          </w:p>
        </w:tc>
      </w:tr>
      <w:tr w14:paraId="0C3B1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41DFC1CD">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bidi="ar-SA"/>
              </w:rPr>
            </w:pPr>
            <w:r>
              <w:rPr>
                <w:rFonts w:hint="eastAsia" w:ascii="仿宋_GB2312" w:hAnsi="仿宋_GB2312" w:eastAsia="仿宋_GB2312" w:cs="仿宋_GB2312"/>
                <w:b/>
                <w:bCs/>
                <w:color w:val="000000"/>
                <w:kern w:val="0"/>
                <w:sz w:val="28"/>
                <w:szCs w:val="28"/>
                <w:lang w:val="en-US" w:eastAsia="zh-CN"/>
              </w:rPr>
              <w:t>合计</w:t>
            </w:r>
          </w:p>
        </w:tc>
        <w:tc>
          <w:tcPr>
            <w:tcW w:w="956" w:type="pct"/>
            <w:shd w:val="clear" w:color="auto" w:fill="auto"/>
            <w:noWrap w:val="0"/>
            <w:vAlign w:val="center"/>
          </w:tcPr>
          <w:p w14:paraId="1C0999BE">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bidi="ar-SA"/>
              </w:rPr>
            </w:pPr>
          </w:p>
        </w:tc>
        <w:tc>
          <w:tcPr>
            <w:tcW w:w="928" w:type="pct"/>
            <w:shd w:val="clear" w:color="auto" w:fill="auto"/>
            <w:noWrap w:val="0"/>
            <w:vAlign w:val="center"/>
          </w:tcPr>
          <w:p w14:paraId="2BD79FF3">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bidi="ar-SA"/>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4.881</w:t>
            </w:r>
            <w:r>
              <w:rPr>
                <w:rFonts w:hint="eastAsia" w:ascii="仿宋_GB2312" w:hAnsi="仿宋_GB2312" w:eastAsia="仿宋_GB2312" w:cs="仿宋_GB2312"/>
                <w:b/>
                <w:bCs/>
                <w:color w:val="000000"/>
                <w:kern w:val="0"/>
                <w:sz w:val="28"/>
                <w:szCs w:val="28"/>
                <w:lang w:val="en-US" w:eastAsia="zh-CN"/>
              </w:rPr>
              <w:fldChar w:fldCharType="end"/>
            </w:r>
          </w:p>
        </w:tc>
        <w:tc>
          <w:tcPr>
            <w:tcW w:w="952" w:type="pct"/>
            <w:shd w:val="clear" w:color="auto" w:fill="auto"/>
            <w:noWrap w:val="0"/>
            <w:vAlign w:val="center"/>
          </w:tcPr>
          <w:p w14:paraId="1E136550">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bidi="ar-SA"/>
              </w:rPr>
            </w:pPr>
          </w:p>
        </w:tc>
        <w:tc>
          <w:tcPr>
            <w:tcW w:w="881" w:type="pct"/>
            <w:shd w:val="clear" w:color="auto" w:fill="auto"/>
            <w:noWrap w:val="0"/>
            <w:vAlign w:val="center"/>
          </w:tcPr>
          <w:p w14:paraId="2CD9FB8E">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sz w:val="28"/>
                <w:szCs w:val="28"/>
              </w:rPr>
              <w:t>0.5539</w:t>
            </w:r>
            <w:r>
              <w:rPr>
                <w:rFonts w:hint="eastAsia" w:ascii="仿宋_GB2312" w:hAnsi="仿宋_GB2312" w:eastAsia="仿宋_GB2312" w:cs="仿宋_GB2312"/>
                <w:b/>
                <w:bCs/>
                <w:color w:val="000000"/>
                <w:kern w:val="0"/>
                <w:sz w:val="28"/>
                <w:szCs w:val="28"/>
                <w:lang w:val="en-US" w:eastAsia="zh-CN"/>
              </w:rPr>
              <w:fldChar w:fldCharType="end"/>
            </w:r>
          </w:p>
        </w:tc>
      </w:tr>
    </w:tbl>
    <w:p w14:paraId="77F74659">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两项费用总计人民币大写：</w:t>
      </w:r>
      <w:r>
        <w:rPr>
          <w:rFonts w:hint="eastAsia" w:ascii="仿宋_GB2312" w:hAnsi="仿宋_GB2312" w:eastAsia="仿宋_GB2312" w:cs="仿宋_GB2312"/>
          <w:b/>
          <w:bCs/>
          <w:sz w:val="32"/>
          <w:szCs w:val="32"/>
          <w:lang w:val="en-US" w:eastAsia="zh-CN"/>
        </w:rPr>
        <w:fldChar w:fldCharType="begin"/>
      </w:r>
      <w:r>
        <w:rPr>
          <w:rFonts w:hint="eastAsia" w:ascii="仿宋_GB2312" w:hAnsi="仿宋_GB2312" w:eastAsia="仿宋_GB2312" w:cs="仿宋_GB2312"/>
          <w:b/>
          <w:bCs/>
          <w:sz w:val="32"/>
          <w:szCs w:val="32"/>
          <w:lang w:val="en-US" w:eastAsia="zh-CN"/>
        </w:rPr>
        <w:instrText xml:space="preserve"> = 237655 \* CHINESENUM4 \* MERGEFORMAT </w:instrText>
      </w:r>
      <w:r>
        <w:rPr>
          <w:rFonts w:hint="eastAsia" w:ascii="仿宋_GB2312" w:hAnsi="仿宋_GB2312" w:eastAsia="仿宋_GB2312" w:cs="仿宋_GB2312"/>
          <w:b/>
          <w:bCs/>
          <w:sz w:val="32"/>
          <w:szCs w:val="32"/>
          <w:lang w:val="en-US" w:eastAsia="zh-CN"/>
        </w:rPr>
        <w:fldChar w:fldCharType="separate"/>
      </w:r>
      <w:r>
        <w:rPr>
          <w:rFonts w:hint="eastAsia" w:ascii="仿宋_GB2312" w:hAnsi="仿宋_GB2312" w:eastAsia="仿宋_GB2312" w:cs="仿宋_GB2312"/>
          <w:b/>
          <w:bCs/>
          <w:sz w:val="32"/>
          <w:szCs w:val="32"/>
          <w:lang w:val="en-US" w:eastAsia="zh-CN"/>
        </w:rPr>
        <w:t>贰拾叁万柒仟陆佰伍拾伍元整</w:t>
      </w:r>
      <w:r>
        <w:rPr>
          <w:rFonts w:hint="eastAsia" w:ascii="仿宋_GB2312" w:hAnsi="仿宋_GB2312" w:eastAsia="仿宋_GB2312" w:cs="仿宋_GB2312"/>
          <w:b/>
          <w:bCs/>
          <w:sz w:val="32"/>
          <w:szCs w:val="32"/>
          <w:lang w:val="en-US" w:eastAsia="zh-CN"/>
        </w:rPr>
        <w:fldChar w:fldCharType="end"/>
      </w:r>
      <w:r>
        <w:rPr>
          <w:rFonts w:hint="eastAsia" w:ascii="仿宋_GB2312" w:hAnsi="仿宋_GB2312" w:eastAsia="仿宋_GB2312" w:cs="仿宋_GB2312"/>
          <w:b/>
          <w:bCs/>
          <w:sz w:val="32"/>
          <w:szCs w:val="32"/>
          <w:lang w:val="en-US" w:eastAsia="zh-CN"/>
        </w:rPr>
        <w:t>（小写：23.7655万元）。</w:t>
      </w:r>
    </w:p>
    <w:p w14:paraId="2F83773A">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（二）支付对象</w:t>
      </w:r>
      <w:r>
        <w:rPr>
          <w:rFonts w:hint="eastAsia" w:ascii="仿宋" w:hAnsi="仿宋" w:eastAsia="仿宋" w:cs="仿宋"/>
          <w:sz w:val="30"/>
          <w:szCs w:val="30"/>
          <w:lang w:val="en-US" w:eastAsia="zh-CN"/>
        </w:rPr>
        <w:t xml:space="preserve"> </w:t>
      </w:r>
    </w:p>
    <w:p w14:paraId="0DAD8EC3">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1、土地补偿费、安置补助费足额支付给被征地农村集体经济组织，被征地农村集体经济组织根据分配方案进行分配。 </w:t>
      </w:r>
    </w:p>
    <w:p w14:paraId="1A08BD5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2、青苗及树木等属于拟被征地农村集体经济组织所有的，其补偿费支付给拟被征地农村集体经济组织；属于个人或承包经营者所有的，其补偿费支付给个人或承包经营者。 </w:t>
      </w:r>
    </w:p>
    <w:p w14:paraId="22DA5C00">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（三）支付方式</w:t>
      </w:r>
      <w:r>
        <w:rPr>
          <w:rFonts w:hint="eastAsia" w:ascii="仿宋" w:hAnsi="仿宋" w:eastAsia="仿宋" w:cs="仿宋"/>
          <w:sz w:val="30"/>
          <w:szCs w:val="30"/>
          <w:lang w:val="en-US" w:eastAsia="zh-CN"/>
        </w:rPr>
        <w:t xml:space="preserve"> </w:t>
      </w:r>
    </w:p>
    <w:p w14:paraId="4D2F08A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所有费用以转账方式线上支付。</w:t>
      </w:r>
      <w:r>
        <w:rPr>
          <w:rFonts w:hint="eastAsia" w:ascii="仿宋" w:hAnsi="仿宋" w:eastAsia="仿宋" w:cs="仿宋"/>
          <w:sz w:val="30"/>
          <w:szCs w:val="30"/>
          <w:lang w:val="en-US" w:eastAsia="zh-CN"/>
        </w:rPr>
        <w:t xml:space="preserve"> </w:t>
      </w:r>
    </w:p>
    <w:p w14:paraId="3B7D8A4D">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（四）支付期限</w:t>
      </w:r>
      <w:r>
        <w:rPr>
          <w:rFonts w:hint="eastAsia" w:ascii="仿宋" w:hAnsi="仿宋" w:eastAsia="仿宋" w:cs="仿宋"/>
          <w:sz w:val="30"/>
          <w:szCs w:val="30"/>
          <w:lang w:val="en-US" w:eastAsia="zh-CN"/>
        </w:rPr>
        <w:t xml:space="preserve"> </w:t>
      </w:r>
    </w:p>
    <w:p w14:paraId="4185D08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上述费用应当在征收土地公告发布之日起60日内足额支付。对个别未达成征地补偿安置协议的，支付期限自征收土地补偿安置决定作出之日起计算，即作出补偿安置决定之日起60日之内支付。</w:t>
      </w:r>
    </w:p>
    <w:p w14:paraId="54325AD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其他安置方式的期限按协议约定执行。</w:t>
      </w:r>
    </w:p>
    <w:p w14:paraId="585B31B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五、公告期限</w:t>
      </w:r>
      <w:r>
        <w:rPr>
          <w:rFonts w:hint="eastAsia" w:ascii="仿宋" w:hAnsi="仿宋" w:eastAsia="仿宋" w:cs="仿宋"/>
          <w:sz w:val="30"/>
          <w:szCs w:val="30"/>
          <w:lang w:val="en-US" w:eastAsia="zh-CN"/>
        </w:rPr>
        <w:t xml:space="preserve"> </w:t>
      </w:r>
    </w:p>
    <w:p w14:paraId="7F80C01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本公告期限自2025年10月31日至2025年12月1日。 </w:t>
      </w:r>
    </w:p>
    <w:p w14:paraId="350CE68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本公告同时在横峰县人民政府网站予以公告，网址：</w:t>
      </w:r>
    </w:p>
    <w:p w14:paraId="64C39E02">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http://www.hfzf.gov.cn/hfzf/tdzs2/xlist.shtml</w:t>
      </w:r>
    </w:p>
    <w:p w14:paraId="5BEFD9A4">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六、补偿登记 </w:t>
      </w:r>
    </w:p>
    <w:p w14:paraId="6F9DE4E0">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后，被征收土地所有权人、使用权人请于2025年12月1日前，持不动产权属证明材料前往横峰县自然资源局三楼土地征收服务股办理补偿登记（或书面委托他人办理补偿登记），未在规定期限内办理补偿登记的，相关信息按照土地现状调查公示结果确定。</w:t>
      </w:r>
    </w:p>
    <w:p w14:paraId="0F4B76F8">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七、听证事项 </w:t>
      </w:r>
    </w:p>
    <w:p w14:paraId="7DB0F527">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按照《自然资源听证规定》规定，拟被征地农村集体经济组织及成员应在收到听证告知书之日起5个工作日内提出书面申请</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逾期未提出的</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视为放弃听证。超半数农村集体经济组织成员对方案提出异议的，横峰县人民政府将依法组织召开听证会，相关事项另行通知。</w:t>
      </w:r>
    </w:p>
    <w:p w14:paraId="2195E160">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八、异议反馈与处理 </w:t>
      </w:r>
    </w:p>
    <w:p w14:paraId="692361AC">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lang w:val="en-US" w:eastAsia="zh-CN"/>
        </w:rPr>
        <w:t>拟征收土地范围内的土地所有权人、使用权人对补偿安置方案有异议的，在本公告期内提出。我县人民政府将结合异议反馈及听证情况，适时修改补偿安置方案并再次公告。</w:t>
      </w:r>
    </w:p>
    <w:p w14:paraId="4AFAB8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p>
    <w:p w14:paraId="65A1DB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联系单位：横峰县自然资源局</w:t>
      </w:r>
    </w:p>
    <w:p w14:paraId="0204740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联系地点：横峰县自然资源局三楼</w:t>
      </w:r>
      <w:r>
        <w:rPr>
          <w:rFonts w:hint="eastAsia" w:ascii="仿宋_GB2312" w:hAnsi="仿宋_GB2312" w:eastAsia="仿宋_GB2312" w:cs="仿宋_GB2312"/>
          <w:b w:val="0"/>
          <w:i w:val="0"/>
          <w:caps w:val="0"/>
          <w:spacing w:val="0"/>
          <w:w w:val="100"/>
          <w:sz w:val="32"/>
          <w:szCs w:val="32"/>
          <w:highlight w:val="none"/>
          <w:lang w:val="en-US" w:eastAsia="zh-CN"/>
        </w:rPr>
        <w:t>土地征收服务股</w:t>
      </w:r>
      <w:r>
        <w:rPr>
          <w:rFonts w:hint="eastAsia" w:ascii="仿宋_GB2312" w:hAnsi="仿宋_GB2312" w:eastAsia="仿宋_GB2312" w:cs="仿宋_GB2312"/>
          <w:sz w:val="32"/>
          <w:szCs w:val="32"/>
          <w:lang w:val="en-US" w:eastAsia="zh-CN"/>
        </w:rPr>
        <w:t xml:space="preserve"> </w:t>
      </w:r>
    </w:p>
    <w:p w14:paraId="6C9AB591">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联系人员：潘斌斌  </w:t>
      </w:r>
    </w:p>
    <w:p w14:paraId="7566726B">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lang w:val="en-US" w:eastAsia="zh-CN"/>
        </w:rPr>
      </w:pPr>
      <w:r>
        <w:rPr>
          <w:rFonts w:hint="eastAsia" w:ascii="仿宋_GB2312" w:hAnsi="仿宋_GB2312" w:eastAsia="仿宋_GB2312" w:cs="仿宋_GB2312"/>
          <w:sz w:val="32"/>
          <w:szCs w:val="32"/>
          <w:lang w:val="en-US" w:eastAsia="zh-CN"/>
        </w:rPr>
        <w:t xml:space="preserve">联系电话：0793-5503637 </w:t>
      </w:r>
    </w:p>
    <w:p w14:paraId="07C1F97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eastAsia" w:ascii="仿宋_GB2312" w:hAnsi="仿宋_GB2312" w:eastAsia="仿宋_GB2312" w:cs="仿宋_GB2312"/>
          <w:sz w:val="32"/>
          <w:szCs w:val="32"/>
          <w:lang w:val="en-US" w:eastAsia="zh-CN"/>
        </w:rPr>
      </w:pPr>
    </w:p>
    <w:p w14:paraId="280D722F">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1492A6A7">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2D10088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横峰县人民政府</w:t>
      </w:r>
    </w:p>
    <w:p w14:paraId="6ADE455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2025年10月31日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60470F10"/>
    <w:rsid w:val="01016C5E"/>
    <w:rsid w:val="010303B2"/>
    <w:rsid w:val="015C1DBB"/>
    <w:rsid w:val="017879F2"/>
    <w:rsid w:val="02395789"/>
    <w:rsid w:val="02874FB9"/>
    <w:rsid w:val="028B69DC"/>
    <w:rsid w:val="03443FE5"/>
    <w:rsid w:val="03600692"/>
    <w:rsid w:val="038B0220"/>
    <w:rsid w:val="038D65C5"/>
    <w:rsid w:val="03B24640"/>
    <w:rsid w:val="03D2113A"/>
    <w:rsid w:val="04113803"/>
    <w:rsid w:val="047D0461"/>
    <w:rsid w:val="052434C5"/>
    <w:rsid w:val="05600071"/>
    <w:rsid w:val="05D20F9F"/>
    <w:rsid w:val="05E6207A"/>
    <w:rsid w:val="06F640F2"/>
    <w:rsid w:val="07EC0192"/>
    <w:rsid w:val="081B342D"/>
    <w:rsid w:val="082569A6"/>
    <w:rsid w:val="083572E7"/>
    <w:rsid w:val="083D5469"/>
    <w:rsid w:val="083E6046"/>
    <w:rsid w:val="08D06772"/>
    <w:rsid w:val="08E96B9D"/>
    <w:rsid w:val="098F41B9"/>
    <w:rsid w:val="099E740A"/>
    <w:rsid w:val="0A176D34"/>
    <w:rsid w:val="0A5A7609"/>
    <w:rsid w:val="0AE20526"/>
    <w:rsid w:val="0AE5100F"/>
    <w:rsid w:val="0D440DD0"/>
    <w:rsid w:val="0D8516D3"/>
    <w:rsid w:val="0DC33448"/>
    <w:rsid w:val="0E7C0CDA"/>
    <w:rsid w:val="0EDD3455"/>
    <w:rsid w:val="0F126C0C"/>
    <w:rsid w:val="0FD039E2"/>
    <w:rsid w:val="119304A3"/>
    <w:rsid w:val="12162CEE"/>
    <w:rsid w:val="12CD545B"/>
    <w:rsid w:val="130342EC"/>
    <w:rsid w:val="13A4281C"/>
    <w:rsid w:val="14350A22"/>
    <w:rsid w:val="14776457"/>
    <w:rsid w:val="14C005B3"/>
    <w:rsid w:val="14EA7E7C"/>
    <w:rsid w:val="15391795"/>
    <w:rsid w:val="1547155E"/>
    <w:rsid w:val="158F525C"/>
    <w:rsid w:val="16C27DDC"/>
    <w:rsid w:val="16DC0E58"/>
    <w:rsid w:val="16F42ED4"/>
    <w:rsid w:val="17B230A8"/>
    <w:rsid w:val="187B264F"/>
    <w:rsid w:val="18FD5071"/>
    <w:rsid w:val="19067C30"/>
    <w:rsid w:val="1912647A"/>
    <w:rsid w:val="19B853DC"/>
    <w:rsid w:val="19C5386D"/>
    <w:rsid w:val="19E341FE"/>
    <w:rsid w:val="19FB0CBC"/>
    <w:rsid w:val="1AB86BAD"/>
    <w:rsid w:val="1B2304CB"/>
    <w:rsid w:val="1B2F454E"/>
    <w:rsid w:val="1C80527A"/>
    <w:rsid w:val="1D322C47"/>
    <w:rsid w:val="1E1D5DCD"/>
    <w:rsid w:val="1EBE15AE"/>
    <w:rsid w:val="1EFF4DAB"/>
    <w:rsid w:val="1F217892"/>
    <w:rsid w:val="1FDB053D"/>
    <w:rsid w:val="20C235DC"/>
    <w:rsid w:val="20F72125"/>
    <w:rsid w:val="213045FF"/>
    <w:rsid w:val="21A52FF1"/>
    <w:rsid w:val="224C4164"/>
    <w:rsid w:val="22983789"/>
    <w:rsid w:val="22D036B1"/>
    <w:rsid w:val="246E1A6F"/>
    <w:rsid w:val="25A30601"/>
    <w:rsid w:val="25C31322"/>
    <w:rsid w:val="2620749E"/>
    <w:rsid w:val="26521066"/>
    <w:rsid w:val="2670660D"/>
    <w:rsid w:val="27B77ACB"/>
    <w:rsid w:val="27D447CC"/>
    <w:rsid w:val="28687CA5"/>
    <w:rsid w:val="29060038"/>
    <w:rsid w:val="2A267AF0"/>
    <w:rsid w:val="2AAF1221"/>
    <w:rsid w:val="2AD42833"/>
    <w:rsid w:val="2AE84108"/>
    <w:rsid w:val="2B501AAD"/>
    <w:rsid w:val="2BD24109"/>
    <w:rsid w:val="2C5524AE"/>
    <w:rsid w:val="2CBA6B26"/>
    <w:rsid w:val="2CD9361A"/>
    <w:rsid w:val="2D412A32"/>
    <w:rsid w:val="2E783D1C"/>
    <w:rsid w:val="30362375"/>
    <w:rsid w:val="323B14D0"/>
    <w:rsid w:val="32FF13C6"/>
    <w:rsid w:val="34C71A69"/>
    <w:rsid w:val="35A12C80"/>
    <w:rsid w:val="35B84243"/>
    <w:rsid w:val="35BE3ECD"/>
    <w:rsid w:val="35DB5480"/>
    <w:rsid w:val="369861A9"/>
    <w:rsid w:val="36FB3CC0"/>
    <w:rsid w:val="381A467A"/>
    <w:rsid w:val="388C0020"/>
    <w:rsid w:val="394202A3"/>
    <w:rsid w:val="39574993"/>
    <w:rsid w:val="3AA13789"/>
    <w:rsid w:val="3AB44863"/>
    <w:rsid w:val="3AD357AE"/>
    <w:rsid w:val="3C70501D"/>
    <w:rsid w:val="3DB97672"/>
    <w:rsid w:val="3E262668"/>
    <w:rsid w:val="3F592D16"/>
    <w:rsid w:val="3F8118BA"/>
    <w:rsid w:val="3FBA36AA"/>
    <w:rsid w:val="418436DD"/>
    <w:rsid w:val="419E729D"/>
    <w:rsid w:val="41BE2340"/>
    <w:rsid w:val="42385237"/>
    <w:rsid w:val="42A82437"/>
    <w:rsid w:val="42CD5832"/>
    <w:rsid w:val="43CD398E"/>
    <w:rsid w:val="44A54CD3"/>
    <w:rsid w:val="450242C7"/>
    <w:rsid w:val="45196D07"/>
    <w:rsid w:val="461344EF"/>
    <w:rsid w:val="465D6208"/>
    <w:rsid w:val="46AA6361"/>
    <w:rsid w:val="48ED5F94"/>
    <w:rsid w:val="49AE42D6"/>
    <w:rsid w:val="4A496829"/>
    <w:rsid w:val="4AA948CD"/>
    <w:rsid w:val="4CDD2406"/>
    <w:rsid w:val="4CDE41D7"/>
    <w:rsid w:val="4D082A36"/>
    <w:rsid w:val="4D813DEC"/>
    <w:rsid w:val="4D8C367F"/>
    <w:rsid w:val="4DBF22D5"/>
    <w:rsid w:val="4E132C4A"/>
    <w:rsid w:val="4E6D14FD"/>
    <w:rsid w:val="500F06C5"/>
    <w:rsid w:val="51902427"/>
    <w:rsid w:val="51A12A32"/>
    <w:rsid w:val="51C84229"/>
    <w:rsid w:val="5227056E"/>
    <w:rsid w:val="52444CB9"/>
    <w:rsid w:val="52707792"/>
    <w:rsid w:val="52EF6D67"/>
    <w:rsid w:val="53782433"/>
    <w:rsid w:val="53CC56BF"/>
    <w:rsid w:val="53D5318D"/>
    <w:rsid w:val="56271E64"/>
    <w:rsid w:val="562E5554"/>
    <w:rsid w:val="568F45D1"/>
    <w:rsid w:val="56AA4A2A"/>
    <w:rsid w:val="57494ADC"/>
    <w:rsid w:val="57820FDB"/>
    <w:rsid w:val="58430E84"/>
    <w:rsid w:val="585A2BD4"/>
    <w:rsid w:val="58AA7B94"/>
    <w:rsid w:val="59594384"/>
    <w:rsid w:val="5A3F1475"/>
    <w:rsid w:val="5A594F7D"/>
    <w:rsid w:val="5A941F30"/>
    <w:rsid w:val="5CC05FB8"/>
    <w:rsid w:val="60470F10"/>
    <w:rsid w:val="60BA3B62"/>
    <w:rsid w:val="60C80807"/>
    <w:rsid w:val="614F61F1"/>
    <w:rsid w:val="618E266B"/>
    <w:rsid w:val="61A8173A"/>
    <w:rsid w:val="63484D33"/>
    <w:rsid w:val="63495A8C"/>
    <w:rsid w:val="63DA2CBD"/>
    <w:rsid w:val="63EF4DCA"/>
    <w:rsid w:val="63FF6E5F"/>
    <w:rsid w:val="647A1AC0"/>
    <w:rsid w:val="64FB496B"/>
    <w:rsid w:val="663675D9"/>
    <w:rsid w:val="663E6C85"/>
    <w:rsid w:val="667473F9"/>
    <w:rsid w:val="66902879"/>
    <w:rsid w:val="67A4786A"/>
    <w:rsid w:val="68490412"/>
    <w:rsid w:val="686510E4"/>
    <w:rsid w:val="6870741F"/>
    <w:rsid w:val="690C2AB2"/>
    <w:rsid w:val="69416AEB"/>
    <w:rsid w:val="69665F7F"/>
    <w:rsid w:val="696839A1"/>
    <w:rsid w:val="69D4450E"/>
    <w:rsid w:val="69D63F27"/>
    <w:rsid w:val="6A28066C"/>
    <w:rsid w:val="6AF9611F"/>
    <w:rsid w:val="6B345453"/>
    <w:rsid w:val="6B676B8F"/>
    <w:rsid w:val="6B6F7C1D"/>
    <w:rsid w:val="6BAB1BFE"/>
    <w:rsid w:val="6C1755BC"/>
    <w:rsid w:val="6D091EA5"/>
    <w:rsid w:val="6D5C587A"/>
    <w:rsid w:val="6D611304"/>
    <w:rsid w:val="6DE72159"/>
    <w:rsid w:val="6ED47FE9"/>
    <w:rsid w:val="700E4F6F"/>
    <w:rsid w:val="720D24B0"/>
    <w:rsid w:val="735724E0"/>
    <w:rsid w:val="73F6728B"/>
    <w:rsid w:val="742773AB"/>
    <w:rsid w:val="748719DD"/>
    <w:rsid w:val="758958F4"/>
    <w:rsid w:val="75B21A9F"/>
    <w:rsid w:val="75B305AA"/>
    <w:rsid w:val="767554D9"/>
    <w:rsid w:val="76FB7611"/>
    <w:rsid w:val="77742862"/>
    <w:rsid w:val="77755782"/>
    <w:rsid w:val="78B03D5F"/>
    <w:rsid w:val="78B97DC3"/>
    <w:rsid w:val="7AE40C2D"/>
    <w:rsid w:val="7BD17787"/>
    <w:rsid w:val="7CC95537"/>
    <w:rsid w:val="7E3314F0"/>
    <w:rsid w:val="7EA57E52"/>
    <w:rsid w:val="7F382EE6"/>
    <w:rsid w:val="7FF04B61"/>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0"/>
    <w:basedOn w:val="1"/>
    <w:qFormat/>
    <w:uiPriority w:val="0"/>
    <w:rPr>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1399</Words>
  <Characters>1556</Characters>
  <Lines>0</Lines>
  <Paragraphs>0</Paragraphs>
  <TotalTime>8</TotalTime>
  <ScaleCrop>false</ScaleCrop>
  <LinksUpToDate>false</LinksUpToDate>
  <CharactersWithSpaces>1587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2019-01-15T08:08:00Z</dcterms:created>
  <dc:creator>Administrator</dc:creator>
  <cp:lastModifiedBy>安末</cp:lastModifiedBy>
  <cp:lastPrinted>2025-10-31T06:37:59Z</cp:lastPrinted>
  <dcterms:modified xsi:type="dcterms:W3CDTF">2025-10-31T06:39:33Z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9833E7BFC8C947D7B683A5A69318A6D3</vt:lpwstr>
  </property>
  <property fmtid="{D5CDD505-2E9C-101B-9397-08002B2CF9AE}" pid="4" name="KSOTemplateDocerSaveRecord">
    <vt:lpwstr>eyJoZGlkIjoiYWU0NjVmYmM0NWZmMWEzM2RiOTM5NGVkYmQwOGZmYmMiLCJ1c2VySWQiOiI0MzM1NDU1MzQifQ==</vt:lpwstr>
  </property>
</Properties>
</file>