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横峰县关于有效应对疫情不利影响促进房地产市场健康发展的若干措施</w:t>
      </w:r>
    </w:p>
    <w:p>
      <w:pPr>
        <w:bidi w:val="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（征求意见稿）</w:t>
      </w:r>
    </w:p>
    <w:p>
      <w:pPr>
        <w:pStyle w:val="4"/>
        <w:keepNext w:val="0"/>
        <w:keepLines w:val="0"/>
        <w:pageBreakBefore w:val="0"/>
        <w:widowControl w:val="0"/>
        <w:shd w:val="clear" w:color="auto" w:fill="auto"/>
        <w:kinsoku/>
        <w:wordWrap/>
        <w:overflowPunct w:val="0"/>
        <w:topLinePunct w:val="0"/>
        <w:autoSpaceDE/>
        <w:autoSpaceDN/>
        <w:bidi w:val="0"/>
        <w:adjustRightInd/>
        <w:snapToGrid/>
        <w:spacing w:before="0" w:beforeLines="0" w:after="0" w:afterLines="0" w:line="568" w:lineRule="exact"/>
        <w:ind w:left="0" w:leftChars="0" w:right="0" w:firstLine="0" w:firstLineChars="0"/>
        <w:jc w:val="center"/>
        <w:textAlignment w:val="auto"/>
        <w:rPr>
          <w:rFonts w:hint="default" w:ascii="Times New Roman" w:hAnsi="Times New Roman" w:eastAsia="黑体" w:cs="Times New Roman"/>
          <w:b w:val="0"/>
          <w:bCs w:val="0"/>
          <w:i w:val="0"/>
          <w:iCs w:val="0"/>
          <w:smallCaps w:val="0"/>
          <w:strike w:val="0"/>
          <w:color w:val="000000"/>
          <w:spacing w:val="0"/>
          <w:w w:val="100"/>
          <w:position w:val="0"/>
          <w:sz w:val="32"/>
          <w:szCs w:val="32"/>
          <w:lang w:eastAsia="zh-CN"/>
        </w:rPr>
      </w:pPr>
      <w:r>
        <w:rPr>
          <w:rFonts w:hint="default" w:ascii="Times New Roman" w:hAnsi="Times New Roman" w:eastAsia="黑体" w:cs="Times New Roman"/>
          <w:b w:val="0"/>
          <w:bCs w:val="0"/>
          <w:i w:val="0"/>
          <w:iCs w:val="0"/>
          <w:smallCaps w:val="0"/>
          <w:strike w:val="0"/>
          <w:color w:val="000000"/>
          <w:spacing w:val="0"/>
          <w:w w:val="100"/>
          <w:position w:val="0"/>
          <w:sz w:val="32"/>
          <w:szCs w:val="32"/>
          <w:lang w:eastAsia="zh-CN"/>
        </w:rPr>
        <w:t>前</w:t>
      </w:r>
      <w:r>
        <w:rPr>
          <w:rFonts w:hint="eastAsia" w:ascii="Times New Roman" w:hAnsi="Times New Roman" w:eastAsia="黑体" w:cs="Times New Roman"/>
          <w:b w:val="0"/>
          <w:bCs w:val="0"/>
          <w:i w:val="0"/>
          <w:iCs w:val="0"/>
          <w:smallCaps w:val="0"/>
          <w:strike w:val="0"/>
          <w:color w:val="000000"/>
          <w:spacing w:val="0"/>
          <w:w w:val="100"/>
          <w:position w:val="0"/>
          <w:sz w:val="32"/>
          <w:szCs w:val="32"/>
          <w:lang w:val="en-US" w:eastAsia="zh-CN"/>
        </w:rPr>
        <w:t xml:space="preserve">    </w:t>
      </w:r>
      <w:r>
        <w:rPr>
          <w:rFonts w:hint="default" w:ascii="Times New Roman" w:hAnsi="Times New Roman" w:eastAsia="黑体" w:cs="Times New Roman"/>
          <w:b w:val="0"/>
          <w:bCs w:val="0"/>
          <w:i w:val="0"/>
          <w:iCs w:val="0"/>
          <w:smallCaps w:val="0"/>
          <w:strike w:val="0"/>
          <w:color w:val="000000"/>
          <w:spacing w:val="0"/>
          <w:w w:val="100"/>
          <w:position w:val="0"/>
          <w:sz w:val="32"/>
          <w:szCs w:val="32"/>
          <w:lang w:eastAsia="zh-CN"/>
        </w:rPr>
        <w:t>言</w:t>
      </w:r>
    </w:p>
    <w:p>
      <w:pPr>
        <w:bidi w:val="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为坚决贯彻落实党中央、国务院“房住不炒”决策部署，有效克服新冠疫情带来的不利影响，进一步落实“稳地价、稳房价、稳预期”工作目标，加强市场预期引导，支持商品房市场更好满足购房者的合理住房需求，因城施策促进我县房地产市场平稳健康发展和良性循环，经县政府同意，特制定以下若干措施。</w:t>
      </w:r>
    </w:p>
    <w:p>
      <w:pPr>
        <w:keepNext w:val="0"/>
        <w:keepLines w:val="0"/>
        <w:pageBreakBefore w:val="0"/>
        <w:widowControl/>
        <w:kinsoku w:val="0"/>
        <w:wordWrap/>
        <w:overflowPunct/>
        <w:topLinePunct w:val="0"/>
        <w:autoSpaceDE w:val="0"/>
        <w:autoSpaceDN w:val="0"/>
        <w:bidi w:val="0"/>
        <w:adjustRightInd w:val="0"/>
        <w:snapToGrid w:val="0"/>
        <w:spacing w:before="11" w:line="600" w:lineRule="exact"/>
        <w:ind w:left="2" w:firstLine="732"/>
        <w:textAlignment w:val="baseline"/>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一、实施阶段性购房补贴。</w:t>
      </w:r>
      <w:r>
        <w:rPr>
          <w:rFonts w:hint="eastAsia" w:ascii="仿宋" w:hAnsi="仿宋" w:eastAsia="仿宋" w:cs="仿宋"/>
          <w:b w:val="0"/>
          <w:bCs w:val="0"/>
          <w:sz w:val="32"/>
          <w:szCs w:val="32"/>
          <w:lang w:val="en-US" w:eastAsia="zh-CN"/>
        </w:rPr>
        <w:t>凡在2022年7月1日至2022年12月31日期间，购买新建商品住房且在2024年6月30日前缴清契税，属首次购买的，给予300元/平方米补贴；属改善型的，给予200元/平方米补贴；横峰县常住居民二孩、三孩家庭群体，且子女未满18周岁（截止2022年6月30日），购房时凭户口本或出生证明，分别给予300元/平方米、500元/平方米的补贴。上述补贴不重复享受，只可按最高标准享受一次，补贴资金由受益财政全额保障。</w:t>
      </w:r>
    </w:p>
    <w:p>
      <w:pPr>
        <w:keepNext w:val="0"/>
        <w:keepLines w:val="0"/>
        <w:pageBreakBefore w:val="0"/>
        <w:widowControl/>
        <w:kinsoku w:val="0"/>
        <w:wordWrap/>
        <w:overflowPunct/>
        <w:topLinePunct w:val="0"/>
        <w:autoSpaceDE w:val="0"/>
        <w:autoSpaceDN w:val="0"/>
        <w:bidi w:val="0"/>
        <w:adjustRightInd w:val="0"/>
        <w:snapToGrid w:val="0"/>
        <w:spacing w:before="11" w:line="600" w:lineRule="exact"/>
        <w:ind w:left="2" w:firstLine="732"/>
        <w:textAlignment w:val="baseline"/>
        <w:rPr>
          <w:rFonts w:hint="eastAsia" w:ascii="仿宋" w:hAnsi="仿宋" w:eastAsia="仿宋" w:cs="仿宋"/>
          <w:b w:val="0"/>
          <w:bCs w:val="0"/>
          <w:snapToGrid/>
          <w:kern w:val="2"/>
          <w:sz w:val="32"/>
          <w:szCs w:val="32"/>
          <w:lang w:val="en-US" w:eastAsia="zh-CN" w:bidi="ar-SA"/>
        </w:rPr>
      </w:pPr>
      <w:r>
        <w:rPr>
          <w:rFonts w:hint="eastAsia" w:ascii="仿宋" w:hAnsi="仿宋" w:eastAsia="仿宋" w:cs="仿宋"/>
          <w:b/>
          <w:bCs/>
          <w:sz w:val="32"/>
          <w:szCs w:val="32"/>
          <w:lang w:val="en-US" w:eastAsia="zh-CN"/>
        </w:rPr>
        <w:t>二、</w:t>
      </w:r>
      <w:r>
        <w:rPr>
          <w:rFonts w:hint="eastAsia" w:ascii="仿宋" w:hAnsi="仿宋" w:eastAsia="仿宋" w:cs="仿宋"/>
          <w:b/>
          <w:bCs/>
          <w:snapToGrid/>
          <w:kern w:val="2"/>
          <w:sz w:val="32"/>
          <w:szCs w:val="32"/>
          <w:lang w:val="en-US" w:eastAsia="zh-CN" w:bidi="ar-SA"/>
        </w:rPr>
        <w:t>下调个人住房按揭贷款首付比例。</w:t>
      </w:r>
      <w:r>
        <w:rPr>
          <w:rFonts w:hint="eastAsia" w:ascii="仿宋" w:hAnsi="仿宋" w:eastAsia="仿宋" w:cs="仿宋"/>
          <w:b w:val="0"/>
          <w:bCs w:val="0"/>
          <w:snapToGrid/>
          <w:kern w:val="2"/>
          <w:sz w:val="32"/>
          <w:szCs w:val="32"/>
          <w:lang w:val="en-US" w:eastAsia="zh-CN" w:bidi="ar-SA"/>
        </w:rPr>
        <w:t>按照中国人民银行、国家外汇管理局印发的《关于做好疫情防控和经济社会发展金融服务的通知》要求，实施差别化住房信贷政策，重点满足首套房、改善型住房按揭需求，更好地满足购房者合理住房需求。在横峰县范围内，采用商业银行按揭贷款的，首套房最低首付比例下调至 20% 、二套房最低首付比例下调至 30%，并合理下行商业性个人住房按揭贷款利率。在横峰县购买自住商品房，首次申请使用住房公积金贷款的，最低首付比例下调至 20% ；购买改善型自住商品房再次申请使用住房公积金贷款的，最低首付比例下调至 40%。</w:t>
      </w:r>
    </w:p>
    <w:p>
      <w:pPr>
        <w:keepNext w:val="0"/>
        <w:keepLines w:val="0"/>
        <w:pageBreakBefore w:val="0"/>
        <w:widowControl/>
        <w:kinsoku w:val="0"/>
        <w:wordWrap/>
        <w:overflowPunct/>
        <w:topLinePunct w:val="0"/>
        <w:autoSpaceDE w:val="0"/>
        <w:autoSpaceDN w:val="0"/>
        <w:bidi w:val="0"/>
        <w:adjustRightInd w:val="0"/>
        <w:snapToGrid w:val="0"/>
        <w:spacing w:before="11" w:line="600" w:lineRule="exact"/>
        <w:ind w:left="2" w:firstLine="732"/>
        <w:jc w:val="both"/>
        <w:textAlignment w:val="baseline"/>
        <w:rPr>
          <w:rFonts w:hint="eastAsia" w:ascii="仿宋" w:hAnsi="仿宋" w:eastAsia="仿宋" w:cs="仿宋"/>
          <w:b w:val="0"/>
          <w:bCs w:val="0"/>
          <w:snapToGrid/>
          <w:kern w:val="2"/>
          <w:sz w:val="32"/>
          <w:szCs w:val="32"/>
          <w:lang w:val="en-US" w:eastAsia="zh-CN" w:bidi="ar-SA"/>
        </w:rPr>
      </w:pPr>
      <w:r>
        <w:rPr>
          <w:rFonts w:hint="eastAsia" w:ascii="仿宋" w:hAnsi="仿宋" w:eastAsia="仿宋" w:cs="仿宋"/>
          <w:b/>
          <w:bCs/>
          <w:snapToGrid/>
          <w:kern w:val="2"/>
          <w:sz w:val="32"/>
          <w:szCs w:val="32"/>
          <w:lang w:val="en-US" w:eastAsia="zh-CN" w:bidi="ar-SA"/>
        </w:rPr>
        <w:t>三、允许延期缴纳物业质量保修金。</w:t>
      </w:r>
      <w:r>
        <w:rPr>
          <w:rFonts w:hint="eastAsia" w:ascii="仿宋" w:hAnsi="仿宋" w:eastAsia="仿宋" w:cs="仿宋"/>
          <w:b w:val="0"/>
          <w:bCs w:val="0"/>
          <w:snapToGrid/>
          <w:kern w:val="2"/>
          <w:sz w:val="32"/>
          <w:szCs w:val="32"/>
          <w:lang w:val="en-US" w:eastAsia="zh-CN" w:bidi="ar-SA"/>
        </w:rPr>
        <w:t>房地产开发项目应缴纳的物业质量保修金可延期缴纳，企业在申请国有建设用地使用权及房屋所有权首次登记前缴清即可。同时，新开工房地产项目可通过金融保函形式缴纳物业质量保修金、农民工工资保证金等。</w:t>
      </w:r>
    </w:p>
    <w:p>
      <w:pPr>
        <w:keepNext w:val="0"/>
        <w:keepLines w:val="0"/>
        <w:pageBreakBefore w:val="0"/>
        <w:widowControl/>
        <w:kinsoku w:val="0"/>
        <w:wordWrap/>
        <w:overflowPunct/>
        <w:topLinePunct w:val="0"/>
        <w:autoSpaceDE w:val="0"/>
        <w:autoSpaceDN w:val="0"/>
        <w:bidi w:val="0"/>
        <w:adjustRightInd w:val="0"/>
        <w:snapToGrid w:val="0"/>
        <w:spacing w:before="11" w:line="600" w:lineRule="exact"/>
        <w:ind w:left="2" w:firstLine="732"/>
        <w:jc w:val="both"/>
        <w:textAlignment w:val="baseline"/>
        <w:rPr>
          <w:rFonts w:hint="eastAsia" w:ascii="仿宋" w:hAnsi="仿宋" w:eastAsia="仿宋" w:cs="仿宋"/>
          <w:b w:val="0"/>
          <w:bCs w:val="0"/>
          <w:snapToGrid/>
          <w:kern w:val="2"/>
          <w:sz w:val="32"/>
          <w:szCs w:val="32"/>
          <w:lang w:val="en-US" w:eastAsia="zh-CN" w:bidi="ar-SA"/>
        </w:rPr>
      </w:pPr>
      <w:r>
        <w:rPr>
          <w:rFonts w:hint="eastAsia" w:ascii="仿宋" w:hAnsi="仿宋" w:eastAsia="仿宋" w:cs="仿宋"/>
          <w:b/>
          <w:bCs/>
          <w:snapToGrid/>
          <w:kern w:val="2"/>
          <w:sz w:val="32"/>
          <w:szCs w:val="32"/>
          <w:lang w:val="en-US" w:eastAsia="zh-CN" w:bidi="ar-SA"/>
        </w:rPr>
        <w:t>四、落实完善装配式建筑支持政策。</w:t>
      </w:r>
      <w:r>
        <w:rPr>
          <w:rFonts w:hint="eastAsia" w:ascii="仿宋" w:hAnsi="仿宋" w:eastAsia="仿宋" w:cs="仿宋"/>
          <w:b w:val="0"/>
          <w:bCs w:val="0"/>
          <w:snapToGrid/>
          <w:kern w:val="2"/>
          <w:sz w:val="32"/>
          <w:szCs w:val="32"/>
          <w:lang w:val="en-US" w:eastAsia="zh-CN" w:bidi="ar-SA"/>
        </w:rPr>
        <w:t xml:space="preserve">支持开发企业、施工企业打造精品工程、建设高品质住宅，完善制定有关实施细则，及时兑现装配式建筑容积率奖励政策。其中，对实施装配式建筑的项目，其外墙预制部分建筑面积（不超过规划总建筑面积的 </w:t>
      </w:r>
      <w:r>
        <w:rPr>
          <w:rFonts w:hint="default" w:ascii="仿宋" w:hAnsi="仿宋" w:eastAsia="仿宋" w:cs="仿宋"/>
          <w:b w:val="0"/>
          <w:bCs w:val="0"/>
          <w:snapToGrid/>
          <w:kern w:val="2"/>
          <w:sz w:val="32"/>
          <w:szCs w:val="32"/>
          <w:lang w:val="en-US" w:eastAsia="zh-CN" w:bidi="ar-SA"/>
        </w:rPr>
        <w:t>3%</w:t>
      </w:r>
      <w:r>
        <w:rPr>
          <w:rFonts w:hint="eastAsia" w:ascii="仿宋" w:hAnsi="仿宋" w:eastAsia="仿宋" w:cs="仿宋"/>
          <w:b w:val="0"/>
          <w:bCs w:val="0"/>
          <w:snapToGrid/>
          <w:kern w:val="2"/>
          <w:sz w:val="32"/>
          <w:szCs w:val="32"/>
          <w:lang w:val="en-US" w:eastAsia="zh-CN" w:bidi="ar-SA"/>
        </w:rPr>
        <w:t>）可不计入成交地块的容积率核算。</w:t>
      </w:r>
    </w:p>
    <w:p>
      <w:pPr>
        <w:keepNext w:val="0"/>
        <w:keepLines w:val="0"/>
        <w:pageBreakBefore w:val="0"/>
        <w:widowControl/>
        <w:kinsoku w:val="0"/>
        <w:wordWrap/>
        <w:overflowPunct/>
        <w:topLinePunct w:val="0"/>
        <w:autoSpaceDE w:val="0"/>
        <w:autoSpaceDN w:val="0"/>
        <w:bidi w:val="0"/>
        <w:adjustRightInd w:val="0"/>
        <w:snapToGrid w:val="0"/>
        <w:spacing w:before="11" w:line="600" w:lineRule="exact"/>
        <w:ind w:left="2" w:firstLine="732"/>
        <w:jc w:val="both"/>
        <w:textAlignment w:val="baseline"/>
        <w:rPr>
          <w:rFonts w:hint="eastAsia" w:ascii="仿宋" w:hAnsi="仿宋" w:eastAsia="仿宋" w:cs="仿宋"/>
          <w:b w:val="0"/>
          <w:bCs w:val="0"/>
          <w:snapToGrid/>
          <w:kern w:val="2"/>
          <w:sz w:val="32"/>
          <w:szCs w:val="32"/>
          <w:lang w:val="en-US" w:eastAsia="zh-CN" w:bidi="ar-SA"/>
        </w:rPr>
      </w:pPr>
      <w:r>
        <w:rPr>
          <w:rFonts w:hint="eastAsia" w:ascii="仿宋" w:hAnsi="仿宋" w:eastAsia="仿宋" w:cs="仿宋"/>
          <w:b/>
          <w:bCs/>
          <w:snapToGrid/>
          <w:kern w:val="2"/>
          <w:sz w:val="32"/>
          <w:szCs w:val="32"/>
          <w:lang w:val="en-US" w:eastAsia="zh-CN" w:bidi="ar-SA"/>
        </w:rPr>
        <w:t>五、允许延期缴纳有关规费。</w:t>
      </w:r>
      <w:r>
        <w:rPr>
          <w:rFonts w:hint="eastAsia" w:ascii="仿宋" w:hAnsi="仿宋" w:eastAsia="仿宋" w:cs="仿宋"/>
          <w:b w:val="0"/>
          <w:bCs w:val="0"/>
          <w:snapToGrid/>
          <w:kern w:val="2"/>
          <w:sz w:val="32"/>
          <w:szCs w:val="32"/>
          <w:lang w:val="en-US" w:eastAsia="zh-CN" w:bidi="ar-SA"/>
        </w:rPr>
        <w:t>房地产开发项目应缴纳的城市基础设施配套费、城市道路挖掘修复费、城镇垃圾处理费等规费，房地产开发企业可以向有关代征部门申请延期缴纳，延期最长不超过 6 个月。</w:t>
      </w:r>
    </w:p>
    <w:p>
      <w:pPr>
        <w:keepNext w:val="0"/>
        <w:keepLines w:val="0"/>
        <w:pageBreakBefore w:val="0"/>
        <w:widowControl/>
        <w:kinsoku w:val="0"/>
        <w:wordWrap/>
        <w:overflowPunct/>
        <w:topLinePunct w:val="0"/>
        <w:autoSpaceDE w:val="0"/>
        <w:autoSpaceDN w:val="0"/>
        <w:bidi w:val="0"/>
        <w:adjustRightInd w:val="0"/>
        <w:snapToGrid w:val="0"/>
        <w:spacing w:before="11" w:line="600" w:lineRule="exact"/>
        <w:ind w:left="2" w:firstLine="732"/>
        <w:jc w:val="both"/>
        <w:textAlignment w:val="baseline"/>
        <w:rPr>
          <w:rFonts w:hint="eastAsia" w:ascii="仿宋" w:hAnsi="仿宋" w:eastAsia="仿宋" w:cs="仿宋"/>
          <w:b w:val="0"/>
          <w:bCs w:val="0"/>
          <w:snapToGrid/>
          <w:kern w:val="2"/>
          <w:sz w:val="32"/>
          <w:szCs w:val="32"/>
          <w:lang w:val="en-US" w:eastAsia="zh-CN" w:bidi="ar-SA"/>
        </w:rPr>
      </w:pPr>
      <w:r>
        <w:rPr>
          <w:rFonts w:hint="eastAsia" w:ascii="仿宋" w:hAnsi="仿宋" w:eastAsia="仿宋" w:cs="仿宋"/>
          <w:b w:val="0"/>
          <w:bCs w:val="0"/>
          <w:snapToGrid/>
          <w:kern w:val="2"/>
          <w:sz w:val="32"/>
          <w:szCs w:val="32"/>
          <w:lang w:val="en-US" w:eastAsia="zh-CN" w:bidi="ar-SA"/>
        </w:rPr>
        <w:t>上述措施自2022年7月1日起执行，具体由横峰县住房和城乡建设局负责解释。期间如遇国家和上级政策调整，以上级政策为准。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mNjVmMjMyOWU1NDAwZWE0MzYzZTUzMmU2NzY0ZmMifQ=="/>
  </w:docVars>
  <w:rsids>
    <w:rsidRoot w:val="00000000"/>
    <w:rsid w:val="6C213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2022-11-14T01:01:43Z</dcterms:created>
  <dc:creator>PC-XZB</dc:creator>
  <cp:lastModifiedBy>PC-XZB</cp:lastModifiedBy>
  <dcterms:modified xsi:type="dcterms:W3CDTF">2022-11-14T01:01:48Z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7C15A310230B40DFB7E3F9EE2BA1D274</vt:lpwstr>
  </property>
</Properties>
</file>