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rPr>
          <w:rFonts w:ascii="仿宋_GB2312" w:eastAsia="仿宋_GB2312"/>
          <w:sz w:val="32"/>
          <w:szCs w:val="32"/>
        </w:rPr>
      </w:pPr>
    </w:p>
    <w:p>
      <w:pPr>
        <w:spacing w:line="660" w:lineRule="exact"/>
        <w:rPr>
          <w:rFonts w:hint="eastAsia" w:ascii="仿宋_GB2312" w:eastAsia="仿宋_GB2312"/>
          <w:sz w:val="32"/>
          <w:szCs w:val="32"/>
        </w:rPr>
      </w:pPr>
    </w:p>
    <w:p>
      <w:pPr>
        <w:spacing w:line="660" w:lineRule="exact"/>
        <w:rPr>
          <w:rFonts w:hint="eastAsia" w:ascii="仿宋_GB2312" w:eastAsia="仿宋_GB2312"/>
          <w:sz w:val="32"/>
          <w:szCs w:val="32"/>
        </w:rPr>
      </w:pPr>
    </w:p>
    <w:p>
      <w:pPr>
        <w:spacing w:line="660" w:lineRule="exact"/>
        <w:rPr>
          <w:rFonts w:hint="eastAsia" w:ascii="仿宋_GB2312" w:eastAsia="仿宋_GB2312"/>
          <w:sz w:val="32"/>
          <w:szCs w:val="32"/>
        </w:rPr>
      </w:pPr>
    </w:p>
    <w:p>
      <w:pPr>
        <w:spacing w:line="680" w:lineRule="exact"/>
        <w:rPr>
          <w:rFonts w:hint="eastAsia" w:ascii="仿宋_GB2312" w:eastAsia="仿宋_GB2312"/>
          <w:sz w:val="32"/>
          <w:szCs w:val="32"/>
        </w:rPr>
      </w:pPr>
    </w:p>
    <w:p>
      <w:pPr>
        <w:spacing w:line="500" w:lineRule="exact"/>
        <w:rPr>
          <w:rFonts w:hint="eastAsia" w:ascii="仿宋_GB2312" w:eastAsia="仿宋_GB2312"/>
          <w:sz w:val="32"/>
          <w:szCs w:val="32"/>
        </w:rPr>
      </w:pPr>
    </w:p>
    <w:p>
      <w:pPr>
        <w:spacing w:line="400" w:lineRule="exact"/>
        <w:rPr>
          <w:rFonts w:hint="eastAsia" w:ascii="仿宋_GB2312" w:eastAsia="仿宋_GB2312"/>
          <w:sz w:val="32"/>
          <w:szCs w:val="32"/>
        </w:rPr>
      </w:pPr>
    </w:p>
    <w:p>
      <w:pPr>
        <w:jc w:val="center"/>
        <w:rPr>
          <w:rFonts w:hint="eastAsia" w:ascii="仿宋_GB2312" w:eastAsia="仿宋_GB2312"/>
          <w:sz w:val="32"/>
          <w:szCs w:val="32"/>
        </w:rPr>
      </w:pPr>
      <w:r>
        <w:rPr>
          <w:rFonts w:hint="eastAsia" w:ascii="仿宋_GB2312" w:eastAsia="仿宋_GB2312"/>
          <w:sz w:val="32"/>
          <w:szCs w:val="32"/>
        </w:rPr>
        <w:t>横</w:t>
      </w:r>
      <w:r>
        <w:rPr>
          <w:rFonts w:hint="eastAsia" w:ascii="仿宋_GB2312" w:eastAsia="仿宋_GB2312"/>
          <w:sz w:val="32"/>
          <w:szCs w:val="32"/>
          <w:lang w:eastAsia="zh-CN"/>
        </w:rPr>
        <w:t>应急</w:t>
      </w:r>
      <w:r>
        <w:rPr>
          <w:rFonts w:hint="eastAsia" w:ascii="仿宋_GB2312" w:eastAsia="仿宋_GB2312"/>
          <w:sz w:val="32"/>
          <w:szCs w:val="32"/>
        </w:rPr>
        <w:t>发〔2</w:t>
      </w:r>
      <w:r>
        <w:rPr>
          <w:rFonts w:hint="eastAsia" w:ascii="仿宋_GB2312" w:eastAsia="仿宋_GB2312"/>
          <w:sz w:val="32"/>
          <w:szCs w:val="32"/>
          <w:lang w:val="en-US" w:eastAsia="zh-CN"/>
        </w:rPr>
        <w:t>021</w:t>
      </w: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号</w:t>
      </w:r>
    </w:p>
    <w:p>
      <w:pPr>
        <w:spacing w:line="700" w:lineRule="exact"/>
        <w:rPr>
          <w:rFonts w:hint="eastAsia" w:ascii="方正小标宋简体" w:eastAsia="方正小标宋简体"/>
          <w:sz w:val="32"/>
          <w:szCs w:val="32"/>
        </w:rPr>
      </w:pPr>
    </w:p>
    <w:p>
      <w:pPr>
        <w:spacing w:after="312" w:afterLines="100" w:line="600" w:lineRule="exact"/>
        <w:jc w:val="center"/>
        <w:rPr>
          <w:rFonts w:hint="default" w:ascii="仿宋_GB2312" w:eastAsia="方正大标宋简体"/>
          <w:sz w:val="32"/>
          <w:szCs w:val="32"/>
          <w:lang w:val="en-US" w:eastAsia="zh-CN"/>
        </w:rPr>
      </w:pPr>
      <w:r>
        <w:rPr>
          <w:rFonts w:hint="eastAsia" w:ascii="方正大标宋简体" w:eastAsia="方正大标宋简体"/>
          <w:sz w:val="44"/>
          <w:szCs w:val="32"/>
        </w:rPr>
        <w:t>关于</w:t>
      </w:r>
      <w:r>
        <w:rPr>
          <w:rFonts w:hint="eastAsia" w:ascii="方正大标宋简体" w:eastAsia="方正大标宋简体"/>
          <w:sz w:val="44"/>
          <w:szCs w:val="32"/>
          <w:lang w:val="en-US" w:eastAsia="zh-CN"/>
        </w:rPr>
        <w:t>印发2021年横峰县震情监视跟踪和应急准备工作方案的通知</w:t>
      </w:r>
    </w:p>
    <w:p>
      <w:pPr>
        <w:keepNext w:val="0"/>
        <w:keepLines w:val="0"/>
        <w:pageBreakBefore w:val="0"/>
        <w:kinsoku/>
        <w:wordWrap/>
        <w:overflowPunct/>
        <w:topLinePunct w:val="0"/>
        <w:autoSpaceDE/>
        <w:autoSpaceDN/>
        <w:bidi w:val="0"/>
        <w:adjustRightInd/>
        <w:spacing w:line="580" w:lineRule="exact"/>
        <w:jc w:val="both"/>
        <w:textAlignment w:val="auto"/>
        <w:outlineLvl w:val="9"/>
        <w:rPr>
          <w:rFonts w:hint="eastAsia" w:ascii="仿宋_GB2312" w:eastAsia="仿宋_GB2312"/>
          <w:sz w:val="32"/>
          <w:szCs w:val="32"/>
          <w:lang w:val="en-US" w:eastAsia="zh-CN"/>
        </w:rPr>
      </w:pPr>
      <w:r>
        <w:rPr>
          <w:rFonts w:hint="eastAsia" w:ascii="仿宋_GB2312" w:hAnsi="Arial" w:eastAsia="仿宋_GB2312" w:cs="Arial"/>
          <w:sz w:val="32"/>
          <w:szCs w:val="32"/>
        </w:rPr>
        <w:t>各乡镇</w:t>
      </w:r>
      <w:r>
        <w:rPr>
          <w:rFonts w:hint="eastAsia" w:ascii="仿宋_GB2312" w:hAnsi="Arial" w:eastAsia="仿宋_GB2312" w:cs="Arial"/>
          <w:sz w:val="32"/>
          <w:szCs w:val="32"/>
          <w:lang w:val="en-US" w:eastAsia="zh-CN"/>
        </w:rPr>
        <w:t>(街道、场、办）应急管理站</w:t>
      </w:r>
      <w:r>
        <w:rPr>
          <w:rFonts w:hint="eastAsia" w:ascii="仿宋_GB2312" w:hAnsi="Arial" w:eastAsia="仿宋_GB2312" w:cs="Arial"/>
          <w:sz w:val="32"/>
          <w:szCs w:val="32"/>
        </w:rPr>
        <w:t>：</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根据江西省地震局《关于印发&lt;2021年上饶市震情监视跟踪和应急准备工作方案&gt;的通知》的要求，现将《2021年横峰县震情监视跟踪和应急准备工作方案》印发给你们。请各单位高度重视，严格按照《方案》任务要求，结合实际落实具体措施，切实做好年度震情监视跟踪和应急准备。</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p>
    <w:p>
      <w:pPr>
        <w:keepNext w:val="0"/>
        <w:keepLines w:val="0"/>
        <w:pageBreakBefore w:val="0"/>
        <w:kinsoku/>
        <w:wordWrap/>
        <w:overflowPunct/>
        <w:topLinePunct w:val="0"/>
        <w:autoSpaceDE/>
        <w:autoSpaceDN/>
        <w:bidi w:val="0"/>
        <w:adjustRightInd/>
        <w:spacing w:line="580" w:lineRule="exact"/>
        <w:ind w:firstLine="640" w:firstLineChars="200"/>
        <w:jc w:val="right"/>
        <w:textAlignment w:val="auto"/>
        <w:outlineLvl w:val="9"/>
        <w:rPr>
          <w:rFonts w:hint="eastAsia" w:ascii="仿宋_GB2312" w:hAnsi="Times New Roman" w:eastAsia="仿宋_GB2312" w:cs="Times New Roman"/>
          <w:sz w:val="32"/>
          <w:szCs w:val="32"/>
          <w:lang w:val="en-US" w:eastAsia="zh-CN"/>
        </w:rPr>
      </w:pPr>
    </w:p>
    <w:p>
      <w:pPr>
        <w:pStyle w:val="2"/>
        <w:rPr>
          <w:rFonts w:hint="eastAsia"/>
          <w:lang w:val="en-US" w:eastAsia="zh-CN"/>
        </w:rPr>
      </w:pPr>
    </w:p>
    <w:p>
      <w:pPr>
        <w:keepNext w:val="0"/>
        <w:keepLines w:val="0"/>
        <w:pageBreakBefore w:val="0"/>
        <w:kinsoku/>
        <w:wordWrap/>
        <w:overflowPunct/>
        <w:topLinePunct w:val="0"/>
        <w:autoSpaceDE/>
        <w:autoSpaceDN/>
        <w:bidi w:val="0"/>
        <w:adjustRightInd/>
        <w:spacing w:line="580" w:lineRule="exact"/>
        <w:ind w:firstLine="640" w:firstLineChars="200"/>
        <w:jc w:val="right"/>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横峰县应急管理局</w:t>
      </w:r>
    </w:p>
    <w:p>
      <w:pPr>
        <w:keepNext w:val="0"/>
        <w:keepLines w:val="0"/>
        <w:pageBreakBefore w:val="0"/>
        <w:kinsoku/>
        <w:wordWrap/>
        <w:overflowPunct/>
        <w:topLinePunct w:val="0"/>
        <w:autoSpaceDE/>
        <w:autoSpaceDN/>
        <w:bidi w:val="0"/>
        <w:adjustRightInd/>
        <w:spacing w:line="580" w:lineRule="exact"/>
        <w:ind w:firstLine="640" w:firstLineChars="200"/>
        <w:jc w:val="right"/>
        <w:textAlignment w:val="auto"/>
        <w:outlineLvl w:val="9"/>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2021年2月4日</w:t>
      </w:r>
    </w:p>
    <w:p>
      <w:pPr>
        <w:keepNext w:val="0"/>
        <w:keepLines w:val="0"/>
        <w:pageBreakBefore w:val="0"/>
        <w:kinsoku/>
        <w:wordWrap/>
        <w:overflowPunct/>
        <w:topLinePunct w:val="0"/>
        <w:autoSpaceDE/>
        <w:autoSpaceDN/>
        <w:bidi w:val="0"/>
        <w:adjustRightInd/>
        <w:spacing w:line="580" w:lineRule="exact"/>
        <w:jc w:val="center"/>
        <w:textAlignment w:val="auto"/>
        <w:outlineLvl w:val="9"/>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2021年横峰县震情监视跟踪和应急准备工作方案</w:t>
      </w:r>
    </w:p>
    <w:p>
      <w:pPr>
        <w:pStyle w:val="2"/>
        <w:rPr>
          <w:rFonts w:hint="eastAsia"/>
          <w:lang w:val="en-US" w:eastAsia="zh-CN"/>
        </w:rPr>
      </w:pP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根据上饶市应急管理局《关于印发&lt;2021年上饶市震情监视跟踪和应急准备工作方案&gt;的通知》(饶应急办字【2021】2号)精神，为做好2021年横峰县震情监视跟踪和应急准备工作，结合我县实际，制定本方案。</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黑体" w:hAnsi="黑体" w:eastAsia="黑体" w:cs="黑体"/>
          <w:sz w:val="32"/>
          <w:szCs w:val="32"/>
          <w:lang w:val="en-US" w:eastAsia="zh-CN"/>
        </w:rPr>
        <w:t>一、工作目标</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深入学习贯彻习近平总书记关于防灾减灾救灾和自然灾害防治系列重要论述，落实2021年度全省地震趋势会商会精神，按照《2021 年上饶市震情监视跟踪和应急准备工作方案》，完成2021年横峰县震情监视跟踪和应急准备任务，最大限度减轻地震灾害风险，提供坚实地震安全保障。</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二、工作原则</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(一)坚持震情第一、密切防范。</w:t>
      </w:r>
      <w:r>
        <w:rPr>
          <w:rFonts w:hint="eastAsia" w:ascii="仿宋_GB2312" w:hAnsi="Times New Roman" w:eastAsia="仿宋_GB2312" w:cs="Times New Roman"/>
          <w:sz w:val="32"/>
          <w:szCs w:val="32"/>
          <w:lang w:val="en-US" w:eastAsia="zh-CN"/>
        </w:rPr>
        <w:t>牢固树立“震情第一”观念，以省、市地震趋势会商意见为科学依据，密切跟踪监视我县震情趋势发展，强化动态研判，切实防范化解地震安全风险。</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(二)坚持属地管理、分级负责。</w:t>
      </w:r>
      <w:r>
        <w:rPr>
          <w:rFonts w:hint="eastAsia" w:ascii="仿宋_GB2312" w:hAnsi="Times New Roman" w:eastAsia="仿宋_GB2312" w:cs="Times New Roman"/>
          <w:sz w:val="32"/>
          <w:szCs w:val="32"/>
          <w:lang w:val="en-US" w:eastAsia="zh-CN"/>
        </w:rPr>
        <w:t>县本级加强统筹指导，各乡镇(街道、场、办)落实属地职责，严格按照任务分工，密切配合、协调联动，扎实推进震情监视跟踪与应急准备工作。</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(三)坚持开放协作、资源共享。</w:t>
      </w:r>
      <w:r>
        <w:rPr>
          <w:rFonts w:hint="eastAsia" w:ascii="仿宋_GB2312" w:hAnsi="Times New Roman" w:eastAsia="仿宋_GB2312" w:cs="Times New Roman"/>
          <w:sz w:val="32"/>
          <w:szCs w:val="32"/>
          <w:lang w:val="en-US" w:eastAsia="zh-CN"/>
        </w:rPr>
        <w:t>充分利用省、市地震趋势会商会、赣东北区域地震趋势研究工作交流会等平台，与周边县、市加强地震观测资料数据的交流共享，推进开放会商，提升会商质量和震情研判服务能力。</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三、工作机制</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成立2021年横峰县震情监视跟踪工作领导小组，组成人员如下:</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组长:王廷新   县应急管理局副局长</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成员:张  涛   地震综合管理股副股长</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各乡镇（街道、场、办）分管领导</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领导小组全面负责全县震情监视跟踪和应急准备工作部署，协调统筹各项任务落实，加强信息共享互通，及时向县委县政府通报震情、把控涉震舆情，组织开展专项督导和实地检查。</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四、工作内容</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1、做好观测点运维保障。</w:t>
      </w:r>
      <w:r>
        <w:rPr>
          <w:rFonts w:hint="eastAsia" w:ascii="仿宋_GB2312" w:hAnsi="Times New Roman" w:eastAsia="仿宋_GB2312" w:cs="Times New Roman"/>
          <w:sz w:val="32"/>
          <w:szCs w:val="32"/>
          <w:lang w:val="en-US" w:eastAsia="zh-CN"/>
        </w:rPr>
        <w:t>加强各地地震宏观观测点的运行维护，监控运行状态，确保地震观测资料连续可靠;定期开展宏观观测点安全巡检，依法保护地震监测设施与观测环境，维护观测点安全稳定运行。</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2、推进地震灾害信息员队伍建设。</w:t>
      </w:r>
      <w:r>
        <w:rPr>
          <w:rFonts w:hint="eastAsia" w:ascii="仿宋_GB2312" w:hAnsi="Times New Roman" w:eastAsia="仿宋_GB2312" w:cs="Times New Roman"/>
          <w:sz w:val="32"/>
          <w:szCs w:val="32"/>
          <w:lang w:val="en-US" w:eastAsia="zh-CN"/>
        </w:rPr>
        <w:t>推进建立县-乡-村三级地震灾害信息员体系，确保灾害发生后各级至少有1名地震灾害信息员能够及时到岗到位，第一时间掌握和报送灾情信息;及时调整和完善地震灾害信息员队伍，加强动态管理;明确地震灾害信息员职责，制定工作制度，落实工作措施;定期举办地震灾害信息员业务培训，切实提高全县地震灾害信息报送能力。</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3、加强宏微观异常跟踪核实。</w:t>
      </w:r>
      <w:r>
        <w:rPr>
          <w:rFonts w:hint="eastAsia" w:ascii="仿宋_GB2312" w:hAnsi="Times New Roman" w:eastAsia="仿宋_GB2312" w:cs="Times New Roman"/>
          <w:sz w:val="32"/>
          <w:szCs w:val="32"/>
          <w:lang w:val="en-US" w:eastAsia="zh-CN"/>
        </w:rPr>
        <w:t>严格执行《宏微观异常零报告制度》和《地震前兆台网观测资料异常核实工作规程》，异常核实实行属地为主，分级管理，对辖区内出现地震宏微观异常，应第一时间上报县应急管理局 ,并迅速开展调查核实，及时续报有关情况;各地对省、市、县局要求核实的宏微观异常现象，迅速开展调查核实，配合做好宏微观异常信息的提取、核实、报送、跟踪分析和综合研判工作，并做到异常核实不过夜;经核实确认或不能排除的地震宏微观异常，由县应急管理局股报请市应急管理局，邀请有关学科专家指导异常核实、分析研判。</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4、扎实开展震情趋势会商。</w:t>
      </w:r>
      <w:r>
        <w:rPr>
          <w:rFonts w:hint="eastAsia" w:ascii="仿宋_GB2312" w:hAnsi="Times New Roman" w:eastAsia="仿宋_GB2312" w:cs="Times New Roman"/>
          <w:sz w:val="32"/>
          <w:szCs w:val="32"/>
          <w:lang w:val="en-US" w:eastAsia="zh-CN"/>
        </w:rPr>
        <w:t>严格按照《全国地震趋势会商工作规程》和《震后趋势会商业务规定(试行)》要求，规范开展年中、年度地震趋势会商，编写提交地震趋势研究报告;辖区内发生有感及以上地震或出现地震谣传时，立即开展紧急会商，提出震情跟踪研判意见，辅助政府指挥决策。</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5、加强应急值守戒备。</w:t>
      </w:r>
      <w:r>
        <w:rPr>
          <w:rFonts w:hint="eastAsia" w:ascii="仿宋_GB2312" w:hAnsi="Times New Roman" w:eastAsia="仿宋_GB2312" w:cs="Times New Roman"/>
          <w:sz w:val="32"/>
          <w:szCs w:val="32"/>
          <w:lang w:val="en-US" w:eastAsia="zh-CN"/>
        </w:rPr>
        <w:t>落实县乡两级每日值班值守工作的对接，加强地震现场工作队人员培训;开展应急基础图件、应急设备、应急装备调查和完善，做好地震应急各项准备。</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6、加强新闻宣传与舆论引导。</w:t>
      </w:r>
      <w:r>
        <w:rPr>
          <w:rFonts w:hint="eastAsia" w:ascii="仿宋_GB2312" w:hAnsi="Times New Roman" w:eastAsia="仿宋_GB2312" w:cs="Times New Roman"/>
          <w:sz w:val="32"/>
          <w:szCs w:val="32"/>
          <w:lang w:val="en-US" w:eastAsia="zh-CN"/>
        </w:rPr>
        <w:t>做好日常新闻宣传工作，组织开展涉震舆情监控和研判。受理媒体采访与公众咨询，进行热点回应;及时发布权威震情信息，解答有关问题，遏制地震谣传，做好舆情引导工作，维护社会稳定，发现涉震舆情，应及时进行处置，避免舆情负面影响扩大。相关工作情况及时向县应急管理局通报，加强上下联动，做好权威发声。</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7、做好震后应急处置。</w:t>
      </w:r>
      <w:r>
        <w:rPr>
          <w:rFonts w:hint="eastAsia" w:ascii="仿宋_GB2312" w:hAnsi="Times New Roman" w:eastAsia="仿宋_GB2312" w:cs="Times New Roman"/>
          <w:sz w:val="32"/>
          <w:szCs w:val="32"/>
          <w:lang w:val="en-US" w:eastAsia="zh-CN"/>
        </w:rPr>
        <w:t>在辖区有感地震发生后，按照属地管理原则，应主动立即开展灾情收集和现场应急工作，形成工作简报，及时报告县应急管理局，县应急管理局视情派出现场工作队协助地方政府开展应急处置。</w:t>
      </w:r>
    </w:p>
    <w:p>
      <w:pPr>
        <w:keepNext w:val="0"/>
        <w:keepLines w:val="0"/>
        <w:pageBreakBefore w:val="0"/>
        <w:kinsoku/>
        <w:wordWrap/>
        <w:overflowPunct/>
        <w:topLinePunct w:val="0"/>
        <w:autoSpaceDE/>
        <w:autoSpaceDN/>
        <w:bidi w:val="0"/>
        <w:adjustRightInd/>
        <w:spacing w:line="580" w:lineRule="exact"/>
        <w:ind w:firstLine="643" w:firstLineChars="200"/>
        <w:jc w:val="both"/>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b/>
          <w:bCs/>
          <w:sz w:val="32"/>
          <w:szCs w:val="32"/>
          <w:lang w:val="en-US" w:eastAsia="zh-CN"/>
        </w:rPr>
        <w:t>8、做好地震风险防治。</w:t>
      </w:r>
      <w:r>
        <w:rPr>
          <w:rFonts w:hint="eastAsia" w:ascii="仿宋_GB2312" w:hAnsi="Times New Roman" w:eastAsia="仿宋_GB2312" w:cs="Times New Roman"/>
          <w:sz w:val="32"/>
          <w:szCs w:val="32"/>
          <w:lang w:val="en-US" w:eastAsia="zh-CN"/>
        </w:rPr>
        <w:t>积极开展地震灾害风险调查与隐患排查相关工作，配合协调有关部门编制工作方案，健全工作机制，加大工作力度，取得工作成效。</w:t>
      </w: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spacing w:line="360" w:lineRule="auto"/>
        <w:rPr>
          <w:rFonts w:hint="eastAsia" w:ascii="仿宋_GB2312" w:hAnsi="仿宋_GB2312" w:eastAsia="仿宋_GB2312" w:cs="仿宋_GB2312"/>
          <w:color w:val="auto"/>
          <w:sz w:val="32"/>
          <w:szCs w:val="32"/>
          <w:u w:val="single"/>
        </w:rPr>
      </w:pPr>
    </w:p>
    <w:p>
      <w:pPr>
        <w:pStyle w:val="2"/>
        <w:rPr>
          <w:rFonts w:hint="eastAsia" w:ascii="仿宋_GB2312" w:hAnsi="仿宋_GB2312" w:eastAsia="仿宋_GB2312" w:cs="仿宋_GB2312"/>
          <w:color w:val="auto"/>
          <w:sz w:val="32"/>
          <w:szCs w:val="32"/>
          <w:u w:val="single"/>
        </w:rPr>
      </w:pPr>
    </w:p>
    <w:p>
      <w:pPr>
        <w:pStyle w:val="3"/>
        <w:rPr>
          <w:rFonts w:hint="eastAsia" w:ascii="仿宋_GB2312" w:hAnsi="仿宋_GB2312" w:eastAsia="仿宋_GB2312" w:cs="仿宋_GB2312"/>
          <w:color w:val="auto"/>
          <w:sz w:val="32"/>
          <w:szCs w:val="32"/>
          <w:u w:val="single"/>
        </w:rPr>
      </w:pPr>
    </w:p>
    <w:p>
      <w:pPr>
        <w:pStyle w:val="4"/>
        <w:rPr>
          <w:rFonts w:hint="eastAsia" w:ascii="仿宋_GB2312" w:hAnsi="仿宋_GB2312" w:eastAsia="仿宋_GB2312" w:cs="仿宋_GB2312"/>
          <w:color w:val="auto"/>
          <w:sz w:val="32"/>
          <w:szCs w:val="32"/>
          <w:u w:val="single"/>
        </w:rPr>
      </w:pPr>
    </w:p>
    <w:p>
      <w:pPr>
        <w:rPr>
          <w:rFonts w:hint="eastAsia" w:ascii="仿宋_GB2312" w:hAnsi="仿宋_GB2312" w:eastAsia="仿宋_GB2312" w:cs="仿宋_GB2312"/>
          <w:color w:val="auto"/>
          <w:sz w:val="32"/>
          <w:szCs w:val="32"/>
          <w:u w:val="single"/>
        </w:rPr>
      </w:pPr>
    </w:p>
    <w:p>
      <w:pPr>
        <w:pStyle w:val="2"/>
        <w:rPr>
          <w:rFonts w:hint="eastAsia" w:ascii="仿宋_GB2312" w:hAnsi="仿宋_GB2312" w:eastAsia="仿宋_GB2312" w:cs="仿宋_GB2312"/>
          <w:color w:val="auto"/>
          <w:sz w:val="32"/>
          <w:szCs w:val="32"/>
          <w:u w:val="single"/>
        </w:rPr>
      </w:pPr>
    </w:p>
    <w:p>
      <w:pPr>
        <w:pStyle w:val="3"/>
        <w:rPr>
          <w:rFonts w:hint="eastAsia" w:ascii="仿宋_GB2312" w:hAnsi="仿宋_GB2312" w:eastAsia="仿宋_GB2312" w:cs="仿宋_GB2312"/>
          <w:color w:val="auto"/>
          <w:sz w:val="32"/>
          <w:szCs w:val="32"/>
          <w:u w:val="single"/>
        </w:rPr>
      </w:pPr>
    </w:p>
    <w:p>
      <w:pPr>
        <w:pStyle w:val="4"/>
        <w:rPr>
          <w:rFonts w:hint="eastAsia" w:ascii="仿宋_GB2312" w:hAnsi="仿宋_GB2312" w:eastAsia="仿宋_GB2312" w:cs="仿宋_GB2312"/>
          <w:color w:val="auto"/>
          <w:sz w:val="32"/>
          <w:szCs w:val="32"/>
          <w:u w:val="single"/>
        </w:rPr>
      </w:pPr>
    </w:p>
    <w:p>
      <w:pPr>
        <w:rPr>
          <w:rFonts w:hint="eastAsia" w:ascii="仿宋_GB2312" w:hAnsi="仿宋_GB2312" w:eastAsia="仿宋_GB2312" w:cs="仿宋_GB2312"/>
          <w:color w:val="auto"/>
          <w:sz w:val="32"/>
          <w:szCs w:val="32"/>
          <w:u w:val="single"/>
        </w:rPr>
      </w:pPr>
    </w:p>
    <w:p>
      <w:pPr>
        <w:pStyle w:val="2"/>
        <w:rPr>
          <w:rFonts w:hint="eastAsia" w:ascii="仿宋_GB2312" w:hAnsi="仿宋_GB2312" w:eastAsia="仿宋_GB2312" w:cs="仿宋_GB2312"/>
          <w:color w:val="auto"/>
          <w:sz w:val="32"/>
          <w:szCs w:val="32"/>
          <w:u w:val="single"/>
        </w:rPr>
      </w:pPr>
    </w:p>
    <w:p>
      <w:pPr>
        <w:pStyle w:val="3"/>
        <w:rPr>
          <w:rFonts w:hint="eastAsia" w:ascii="仿宋_GB2312" w:hAnsi="仿宋_GB2312" w:eastAsia="仿宋_GB2312" w:cs="仿宋_GB2312"/>
          <w:color w:val="auto"/>
          <w:sz w:val="32"/>
          <w:szCs w:val="32"/>
          <w:u w:val="single"/>
        </w:rPr>
      </w:pPr>
    </w:p>
    <w:p>
      <w:pPr>
        <w:pStyle w:val="4"/>
        <w:rPr>
          <w:rFonts w:hint="eastAsia" w:ascii="仿宋_GB2312" w:hAnsi="仿宋_GB2312" w:eastAsia="仿宋_GB2312" w:cs="仿宋_GB2312"/>
          <w:color w:val="auto"/>
          <w:sz w:val="32"/>
          <w:szCs w:val="32"/>
          <w:u w:val="single"/>
        </w:rPr>
      </w:pPr>
    </w:p>
    <w:p>
      <w:pPr>
        <w:rPr>
          <w:rFonts w:hint="eastAsia" w:ascii="仿宋_GB2312" w:hAnsi="仿宋_GB2312" w:eastAsia="仿宋_GB2312" w:cs="仿宋_GB2312"/>
          <w:color w:val="auto"/>
          <w:sz w:val="32"/>
          <w:szCs w:val="32"/>
          <w:u w:val="single"/>
        </w:rPr>
      </w:pPr>
    </w:p>
    <w:p>
      <w:pPr>
        <w:pStyle w:val="2"/>
        <w:rPr>
          <w:rFonts w:hint="eastAsia" w:ascii="仿宋_GB2312" w:hAnsi="仿宋_GB2312" w:eastAsia="仿宋_GB2312" w:cs="仿宋_GB2312"/>
          <w:color w:val="auto"/>
          <w:sz w:val="32"/>
          <w:szCs w:val="32"/>
          <w:u w:val="single"/>
        </w:rPr>
      </w:pPr>
    </w:p>
    <w:p>
      <w:pPr>
        <w:pStyle w:val="3"/>
        <w:rPr>
          <w:rFonts w:hint="eastAsia" w:ascii="仿宋_GB2312" w:hAnsi="仿宋_GB2312" w:eastAsia="仿宋_GB2312" w:cs="仿宋_GB2312"/>
          <w:color w:val="auto"/>
          <w:sz w:val="32"/>
          <w:szCs w:val="32"/>
          <w:u w:val="single"/>
        </w:rPr>
      </w:pPr>
    </w:p>
    <w:p>
      <w:pPr>
        <w:pStyle w:val="4"/>
        <w:rPr>
          <w:rFonts w:hint="eastAsia" w:ascii="仿宋_GB2312" w:hAnsi="仿宋_GB2312" w:eastAsia="仿宋_GB2312" w:cs="仿宋_GB2312"/>
          <w:color w:val="auto"/>
          <w:sz w:val="32"/>
          <w:szCs w:val="32"/>
          <w:u w:val="single"/>
        </w:rPr>
      </w:pPr>
    </w:p>
    <w:p>
      <w:pPr>
        <w:rPr>
          <w:rFonts w:hint="eastAsia" w:ascii="仿宋_GB2312" w:hAnsi="仿宋_GB2312" w:eastAsia="仿宋_GB2312" w:cs="仿宋_GB2312"/>
          <w:color w:val="auto"/>
          <w:sz w:val="32"/>
          <w:szCs w:val="32"/>
          <w:u w:val="single"/>
        </w:rPr>
      </w:pPr>
    </w:p>
    <w:p>
      <w:pPr>
        <w:pStyle w:val="2"/>
        <w:rPr>
          <w:rFonts w:hint="eastAsia" w:ascii="仿宋_GB2312" w:hAnsi="仿宋_GB2312" w:eastAsia="仿宋_GB2312" w:cs="仿宋_GB2312"/>
          <w:color w:val="auto"/>
          <w:sz w:val="32"/>
          <w:szCs w:val="32"/>
          <w:u w:val="single"/>
        </w:rPr>
      </w:pPr>
    </w:p>
    <w:p>
      <w:pPr>
        <w:pStyle w:val="3"/>
        <w:rPr>
          <w:rFonts w:hint="eastAsia" w:ascii="仿宋_GB2312" w:hAnsi="仿宋_GB2312" w:eastAsia="仿宋_GB2312" w:cs="仿宋_GB2312"/>
          <w:color w:val="auto"/>
          <w:sz w:val="32"/>
          <w:szCs w:val="32"/>
          <w:u w:val="single"/>
        </w:rPr>
      </w:pPr>
    </w:p>
    <w:p>
      <w:pPr>
        <w:pStyle w:val="4"/>
        <w:rPr>
          <w:rFonts w:hint="eastAsia" w:ascii="仿宋_GB2312" w:hAnsi="仿宋_GB2312" w:eastAsia="仿宋_GB2312" w:cs="仿宋_GB2312"/>
          <w:color w:val="auto"/>
          <w:sz w:val="32"/>
          <w:szCs w:val="32"/>
          <w:u w:val="single"/>
        </w:rPr>
      </w:pPr>
    </w:p>
    <w:p>
      <w:pPr>
        <w:pStyle w:val="2"/>
        <w:rPr>
          <w:rFonts w:hint="eastAsia"/>
        </w:rPr>
      </w:pPr>
    </w:p>
    <w:p>
      <w:pPr>
        <w:pStyle w:val="2"/>
        <w:rPr>
          <w:rFonts w:hint="eastAsia" w:ascii="仿宋_GB2312" w:hAnsi="仿宋_GB2312" w:eastAsia="仿宋_GB2312" w:cs="仿宋_GB2312"/>
          <w:color w:val="auto"/>
          <w:sz w:val="32"/>
          <w:szCs w:val="32"/>
          <w:u w:val="single"/>
        </w:rPr>
      </w:pPr>
    </w:p>
    <w:p>
      <w:pPr>
        <w:widowControl/>
        <w:spacing w:line="700" w:lineRule="exact"/>
        <w:jc w:val="left"/>
        <w:rPr>
          <w:rFonts w:hint="eastAsia" w:ascii="黑体" w:hAnsi="宋体" w:eastAsia="黑体" w:cs="仿宋_GB2312"/>
          <w:b/>
          <w:kern w:val="0"/>
          <w:sz w:val="32"/>
          <w:szCs w:val="32"/>
          <w:u w:val="single"/>
        </w:rPr>
      </w:pPr>
      <w:r>
        <w:rPr>
          <w:rFonts w:hint="eastAsia" w:ascii="黑体" w:hAnsi="宋体" w:eastAsia="黑体" w:cs="仿宋_GB2312"/>
          <w:b/>
          <w:kern w:val="0"/>
          <w:sz w:val="32"/>
          <w:szCs w:val="32"/>
          <w:u w:val="single"/>
        </w:rPr>
        <w:t xml:space="preserve">                                                     </w:t>
      </w:r>
      <w:r>
        <w:rPr>
          <w:rFonts w:hint="eastAsia" w:ascii="黑体" w:hAnsi="宋体" w:eastAsia="黑体" w:cs="仿宋_GB2312"/>
          <w:b/>
          <w:kern w:val="0"/>
          <w:sz w:val="32"/>
          <w:szCs w:val="32"/>
          <w:u w:val="single"/>
          <w:lang w:val="en-US" w:eastAsia="zh-CN"/>
        </w:rPr>
        <w:t xml:space="preserve">  </w:t>
      </w:r>
      <w:r>
        <w:rPr>
          <w:rFonts w:hint="eastAsia" w:ascii="黑体" w:hAnsi="宋体" w:eastAsia="黑体" w:cs="仿宋_GB2312"/>
          <w:b/>
          <w:kern w:val="0"/>
          <w:sz w:val="32"/>
          <w:szCs w:val="32"/>
          <w:u w:val="single"/>
        </w:rPr>
        <w:t xml:space="preserve"> </w:t>
      </w:r>
    </w:p>
    <w:p>
      <w:pPr>
        <w:widowControl/>
        <w:spacing w:line="700" w:lineRule="exact"/>
        <w:rPr>
          <w:rFonts w:hint="eastAsia" w:ascii="仿宋_GB2312" w:hAnsi="Times New Roman" w:eastAsia="仿宋_GB2312" w:cs="Times New Roman"/>
          <w:sz w:val="32"/>
          <w:szCs w:val="32"/>
          <w:lang w:val="en-US" w:eastAsia="zh-CN"/>
        </w:rPr>
      </w:pPr>
      <w:r>
        <w:rPr>
          <w:rFonts w:hint="eastAsia" w:ascii="仿宋_GB2312" w:hAnsi="宋体" w:eastAsia="仿宋_GB2312" w:cs="宋体"/>
          <w:kern w:val="0"/>
          <w:sz w:val="32"/>
          <w:szCs w:val="32"/>
          <w:u w:val="single"/>
        </w:rPr>
        <w:t>横峰县</w:t>
      </w:r>
      <w:r>
        <w:rPr>
          <w:rFonts w:hint="eastAsia" w:ascii="仿宋_GB2312" w:hAnsi="宋体" w:eastAsia="仿宋_GB2312" w:cs="宋体"/>
          <w:kern w:val="0"/>
          <w:sz w:val="32"/>
          <w:szCs w:val="32"/>
          <w:u w:val="single"/>
          <w:lang w:val="en-US" w:eastAsia="zh-CN"/>
        </w:rPr>
        <w:t>应急</w:t>
      </w:r>
      <w:r>
        <w:rPr>
          <w:rFonts w:hint="eastAsia" w:ascii="仿宋_GB2312" w:hAnsi="宋体" w:eastAsia="仿宋_GB2312" w:cs="宋体"/>
          <w:kern w:val="0"/>
          <w:sz w:val="32"/>
          <w:szCs w:val="32"/>
          <w:u w:val="single"/>
        </w:rPr>
        <w:t>管理局</w:t>
      </w:r>
      <w:r>
        <w:rPr>
          <w:rFonts w:hint="eastAsia" w:ascii="仿宋_GB2312" w:hAnsi="宋体" w:eastAsia="仿宋_GB2312" w:cs="宋体"/>
          <w:kern w:val="0"/>
          <w:sz w:val="32"/>
          <w:szCs w:val="32"/>
          <w:u w:val="single"/>
          <w:lang w:val="en-US" w:eastAsia="zh-CN"/>
        </w:rPr>
        <w:t>办公室</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lang w:val="en-US" w:eastAsia="zh-CN"/>
        </w:rPr>
        <w:t xml:space="preserve">    </w:t>
      </w:r>
      <w:r>
        <w:rPr>
          <w:rFonts w:hint="eastAsia" w:ascii="仿宋_GB2312" w:hAnsi="宋体" w:eastAsia="仿宋_GB2312" w:cs="宋体"/>
          <w:kern w:val="0"/>
          <w:sz w:val="32"/>
          <w:szCs w:val="32"/>
          <w:u w:val="single"/>
        </w:rPr>
        <w:t>20</w:t>
      </w:r>
      <w:r>
        <w:rPr>
          <w:rFonts w:hint="eastAsia" w:ascii="仿宋_GB2312" w:hAnsi="宋体" w:eastAsia="仿宋_GB2312" w:cs="宋体"/>
          <w:kern w:val="0"/>
          <w:sz w:val="32"/>
          <w:szCs w:val="32"/>
          <w:u w:val="single"/>
          <w:lang w:val="en-US" w:eastAsia="zh-CN"/>
        </w:rPr>
        <w:t>21</w:t>
      </w:r>
      <w:r>
        <w:rPr>
          <w:rFonts w:hint="eastAsia" w:ascii="仿宋_GB2312" w:hAnsi="宋体" w:eastAsia="仿宋_GB2312" w:cs="宋体"/>
          <w:kern w:val="0"/>
          <w:sz w:val="32"/>
          <w:szCs w:val="32"/>
          <w:u w:val="single"/>
        </w:rPr>
        <w:t>年</w:t>
      </w:r>
      <w:r>
        <w:rPr>
          <w:rFonts w:hint="eastAsia" w:ascii="仿宋_GB2312" w:hAnsi="宋体" w:eastAsia="仿宋_GB2312" w:cs="宋体"/>
          <w:kern w:val="0"/>
          <w:sz w:val="32"/>
          <w:szCs w:val="32"/>
          <w:u w:val="single"/>
          <w:lang w:val="en-US" w:eastAsia="zh-CN"/>
        </w:rPr>
        <w:t>2</w:t>
      </w:r>
      <w:r>
        <w:rPr>
          <w:rFonts w:hint="eastAsia" w:ascii="仿宋_GB2312" w:hAnsi="宋体" w:eastAsia="仿宋_GB2312" w:cs="宋体"/>
          <w:kern w:val="0"/>
          <w:sz w:val="32"/>
          <w:szCs w:val="32"/>
          <w:u w:val="single"/>
        </w:rPr>
        <w:t>月</w:t>
      </w:r>
      <w:r>
        <w:rPr>
          <w:rFonts w:hint="eastAsia" w:ascii="仿宋_GB2312" w:hAnsi="宋体" w:eastAsia="仿宋_GB2312" w:cs="宋体"/>
          <w:kern w:val="0"/>
          <w:sz w:val="32"/>
          <w:szCs w:val="32"/>
          <w:u w:val="single"/>
          <w:lang w:val="en-US" w:eastAsia="zh-CN"/>
        </w:rPr>
        <w:t>4</w:t>
      </w:r>
      <w:bookmarkStart w:id="0" w:name="_GoBack"/>
      <w:bookmarkEnd w:id="0"/>
      <w:r>
        <w:rPr>
          <w:rFonts w:hint="eastAsia" w:ascii="仿宋_GB2312" w:hAnsi="宋体" w:eastAsia="仿宋_GB2312" w:cs="宋体"/>
          <w:kern w:val="0"/>
          <w:sz w:val="32"/>
          <w:szCs w:val="32"/>
          <w:u w:val="single"/>
        </w:rPr>
        <w:t>日印发</w:t>
      </w:r>
      <w:r>
        <w:rPr>
          <w:rFonts w:hint="eastAsia" w:ascii="仿宋_GB2312" w:hAnsi="宋体" w:eastAsia="仿宋_GB2312" w:cs="宋体"/>
          <w:kern w:val="0"/>
          <w:sz w:val="32"/>
          <w:szCs w:val="32"/>
          <w:u w:val="single"/>
          <w:lang w:val="en-US" w:eastAsia="zh-CN"/>
        </w:rPr>
        <w:t xml:space="preserve">    </w:t>
      </w: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8965B5"/>
    <w:rsid w:val="01CF34E1"/>
    <w:rsid w:val="15E146D9"/>
    <w:rsid w:val="25491AF2"/>
    <w:rsid w:val="289C1795"/>
    <w:rsid w:val="2A997FA4"/>
    <w:rsid w:val="33A65266"/>
    <w:rsid w:val="396A0A66"/>
    <w:rsid w:val="3BCE41A0"/>
    <w:rsid w:val="45F34F81"/>
    <w:rsid w:val="618965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szCs w:val="18"/>
    </w:rPr>
  </w:style>
  <w:style w:type="paragraph" w:customStyle="1" w:styleId="3">
    <w:name w:val="HtmlNormal"/>
    <w:basedOn w:val="1"/>
    <w:next w:val="4"/>
    <w:qFormat/>
    <w:uiPriority w:val="0"/>
    <w:pPr>
      <w:widowControl/>
      <w:spacing w:before="100" w:beforeAutospacing="1" w:after="100" w:afterAutospacing="1"/>
      <w:jc w:val="left"/>
    </w:pPr>
    <w:rPr>
      <w:rFonts w:ascii="宋体" w:hAnsi="宋体"/>
      <w:color w:val="000000"/>
      <w:kern w:val="0"/>
      <w:sz w:val="24"/>
      <w:szCs w:val="24"/>
    </w:rPr>
  </w:style>
  <w:style w:type="paragraph" w:customStyle="1" w:styleId="4">
    <w:name w:val="UserStyle_0"/>
    <w:next w:val="1"/>
    <w:qFormat/>
    <w:uiPriority w:val="0"/>
    <w:pPr>
      <w:ind w:left="2975"/>
      <w:jc w:val="both"/>
    </w:pPr>
    <w:rPr>
      <w:rFonts w:ascii="Times New Roman" w:hAnsi="Times New Roman" w:eastAsia="宋体" w:cs="Times New Roman"/>
      <w:sz w:val="21"/>
      <w:szCs w:val="22"/>
      <w:lang w:val="en-US" w:eastAsia="zh-CN" w:bidi="ar-SA"/>
    </w:rPr>
  </w:style>
  <w:style w:type="paragraph" w:styleId="5">
    <w:name w:val="Body Text"/>
    <w:basedOn w:val="1"/>
    <w:qFormat/>
    <w:uiPriority w:val="0"/>
    <w:pPr>
      <w:autoSpaceDE w:val="0"/>
      <w:autoSpaceDN w:val="0"/>
      <w:adjustRightInd w:val="0"/>
      <w:snapToGrid w:val="0"/>
      <w:spacing w:line="360" w:lineRule="auto"/>
      <w:ind w:right="600"/>
      <w:textAlignment w:val="baseline"/>
    </w:pPr>
    <w:rPr>
      <w:rFonts w:ascii="仿宋_GB2312" w:hAnsi="Courier New" w:eastAsia="仿宋_GB2312" w:cs="仿宋_GB231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2021-02-04T07:17:00Z</dcterms:created>
  <dc:creator>dsafsaf</dc:creator>
  <cp:lastModifiedBy>涛</cp:lastModifiedBy>
  <cp:lastPrinted>2021-02-05T05:45:36Z</cp:lastPrinted>
  <dcterms:modified xsi:type="dcterms:W3CDTF">2021-02-05T05:49:57Z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