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71A3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color w:val="000000" w:themeColor="text1"/>
          <w:sz w:val="44"/>
          <w:szCs w:val="44"/>
          <w14:textFill>
            <w14:solidFill>
              <w14:schemeClr w14:val="tx1"/>
            </w14:solidFill>
          </w14:textFill>
        </w:rPr>
      </w:pPr>
      <w:r>
        <w:rPr>
          <w:rFonts w:hint="eastAsia" w:ascii="宋体" w:hAnsi="宋体" w:eastAsia="宋体" w:cs="宋体"/>
          <w:color w:val="000000" w:themeColor="text1"/>
          <w:sz w:val="44"/>
          <w:szCs w:val="44"/>
          <w:lang w:eastAsia="zh-CN"/>
          <w14:textFill>
            <w14:solidFill>
              <w14:schemeClr w14:val="tx1"/>
            </w14:solidFill>
          </w14:textFill>
        </w:rPr>
        <w:t>横峰县</w:t>
      </w:r>
      <w:r>
        <w:rPr>
          <w:rFonts w:hint="eastAsia" w:ascii="宋体" w:hAnsi="宋体" w:eastAsia="宋体" w:cs="宋体"/>
          <w:color w:val="000000" w:themeColor="text1"/>
          <w:sz w:val="44"/>
          <w:szCs w:val="44"/>
          <w14:textFill>
            <w14:solidFill>
              <w14:schemeClr w14:val="tx1"/>
            </w14:solidFill>
          </w14:textFill>
        </w:rPr>
        <w:t>林业经营收益权登记管理办法</w:t>
      </w:r>
    </w:p>
    <w:p w14:paraId="07566B0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color w:val="000000" w:themeColor="text1"/>
          <w:sz w:val="44"/>
          <w:szCs w:val="44"/>
          <w14:textFill>
            <w14:solidFill>
              <w14:schemeClr w14:val="tx1"/>
            </w14:solidFill>
          </w14:textFill>
        </w:rPr>
      </w:pPr>
      <w:r>
        <w:rPr>
          <w:rFonts w:hint="eastAsia" w:ascii="宋体" w:hAnsi="宋体" w:eastAsia="宋体" w:cs="宋体"/>
          <w:color w:val="000000" w:themeColor="text1"/>
          <w:sz w:val="44"/>
          <w:szCs w:val="44"/>
          <w14:textFill>
            <w14:solidFill>
              <w14:schemeClr w14:val="tx1"/>
            </w14:solidFill>
          </w14:textFill>
        </w:rPr>
        <w:t>（试行）</w:t>
      </w:r>
    </w:p>
    <w:p w14:paraId="5F3C33F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color w:val="000000" w:themeColor="text1"/>
          <w:sz w:val="32"/>
          <w:szCs w:val="32"/>
          <w14:textFill>
            <w14:solidFill>
              <w14:schemeClr w14:val="tx1"/>
            </w14:solidFill>
          </w14:textFill>
        </w:rPr>
      </w:pPr>
    </w:p>
    <w:p w14:paraId="3FD61E0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14:textFill>
            <w14:solidFill>
              <w14:schemeClr w14:val="tx1"/>
            </w14:solidFill>
          </w14:textFill>
        </w:rPr>
      </w:pPr>
      <w:bookmarkStart w:id="0" w:name="_GoBack"/>
      <w:bookmarkEnd w:id="0"/>
    </w:p>
    <w:p w14:paraId="62ABD6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第一章 总则</w:t>
      </w:r>
    </w:p>
    <w:p w14:paraId="2AEB6DB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第一条</w:t>
      </w:r>
      <w:r>
        <w:rPr>
          <w:rFonts w:hint="eastAsia" w:ascii="仿宋" w:hAnsi="仿宋" w:eastAsia="仿宋" w:cs="仿宋"/>
          <w:color w:val="000000" w:themeColor="text1"/>
          <w:sz w:val="32"/>
          <w:szCs w:val="32"/>
          <w14:textFill>
            <w14:solidFill>
              <w14:schemeClr w14:val="tx1"/>
            </w14:solidFill>
          </w14:textFill>
        </w:rPr>
        <w:t xml:space="preserve"> 为深化集体林权制度改革，践行绿水青山就是金山银山理念，建立健全林业生态产品价值实现机制，创新落实和维护经营主体合法权益，推动林业高质量发展，促进乡村振兴，根据《中华人民共和国民法典》《中华人民共和国农村土地承包法》《中华人民共和国森林法》《江西省深化集体林权制度改革先行区建设方案》等有关规定，结合本县实际，制定本办法。</w:t>
      </w:r>
    </w:p>
    <w:p w14:paraId="66CECE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第二条</w:t>
      </w:r>
      <w:r>
        <w:rPr>
          <w:rFonts w:hint="eastAsia" w:ascii="仿宋" w:hAnsi="仿宋" w:eastAsia="仿宋" w:cs="仿宋"/>
          <w:color w:val="000000" w:themeColor="text1"/>
          <w:sz w:val="32"/>
          <w:szCs w:val="32"/>
          <w14:textFill>
            <w14:solidFill>
              <w14:schemeClr w14:val="tx1"/>
            </w14:solidFill>
          </w14:textFill>
        </w:rPr>
        <w:t xml:space="preserve"> </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本办法所称林业经营收益权是指除林地所有权之外的，承包经营权或经营权拓展权能分置出来经营收益权、使用权，包含林下经济、经济林、林业碳汇、湿地环境、森林康养、森林旅游、公益林（天然商品林）等非木质经营和获得补偿及入股、托管、合作收益的权利。允许国有林地开展林业经营收益权登记。</w:t>
      </w:r>
    </w:p>
    <w:p w14:paraId="6134A6D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第三条</w:t>
      </w:r>
      <w:r>
        <w:rPr>
          <w:rFonts w:hint="eastAsia" w:ascii="仿宋" w:hAnsi="仿宋" w:eastAsia="仿宋" w:cs="仿宋"/>
          <w:b/>
          <w:bCs/>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林业经营收益权证实行自愿申请、公开公正、有序开展的原则。</w:t>
      </w:r>
    </w:p>
    <w:p w14:paraId="1E39DC2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 xml:space="preserve">第四条 </w:t>
      </w:r>
      <w:r>
        <w:rPr>
          <w:rFonts w:hint="eastAsia" w:ascii="仿宋" w:hAnsi="仿宋" w:eastAsia="仿宋" w:cs="仿宋"/>
          <w:color w:val="000000" w:themeColor="text1"/>
          <w:sz w:val="32"/>
          <w:szCs w:val="32"/>
          <w14:textFill>
            <w14:solidFill>
              <w14:schemeClr w14:val="tx1"/>
            </w14:solidFill>
          </w14:textFill>
        </w:rPr>
        <w:t>经营主体在本县范围内可凭林业经营收益权证办理</w:t>
      </w:r>
      <w:r>
        <w:rPr>
          <w:rFonts w:hint="eastAsia" w:ascii="仿宋" w:hAnsi="仿宋" w:eastAsia="仿宋" w:cs="仿宋"/>
          <w:color w:val="000000" w:themeColor="text1"/>
          <w:sz w:val="32"/>
          <w:szCs w:val="32"/>
          <w:lang w:val="en-US" w:eastAsia="zh-CN"/>
          <w14:textFill>
            <w14:solidFill>
              <w14:schemeClr w14:val="tx1"/>
            </w14:solidFill>
          </w14:textFill>
        </w:rPr>
        <w:t>质押</w:t>
      </w:r>
      <w:r>
        <w:rPr>
          <w:rFonts w:hint="eastAsia" w:ascii="仿宋" w:hAnsi="仿宋" w:eastAsia="仿宋" w:cs="仿宋"/>
          <w:color w:val="000000" w:themeColor="text1"/>
          <w:sz w:val="32"/>
          <w:szCs w:val="32"/>
          <w14:textFill>
            <w14:solidFill>
              <w14:schemeClr w14:val="tx1"/>
            </w14:solidFill>
          </w14:textFill>
        </w:rPr>
        <w:t>、项目申报、示范评审、林业行政许可等事项。</w:t>
      </w:r>
    </w:p>
    <w:p w14:paraId="2681204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第五条</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承担林业经营收益权证的申请受理、审核、颁发</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需加盖县人民政府公章）</w:t>
      </w:r>
      <w:r>
        <w:rPr>
          <w:rFonts w:hint="eastAsia" w:ascii="仿宋" w:hAnsi="仿宋" w:eastAsia="仿宋" w:cs="仿宋"/>
          <w:color w:val="000000" w:themeColor="text1"/>
          <w:sz w:val="32"/>
          <w:szCs w:val="32"/>
          <w14:textFill>
            <w14:solidFill>
              <w14:schemeClr w14:val="tx1"/>
            </w14:solidFill>
          </w14:textFill>
        </w:rPr>
        <w:t>和管理等工作，负责统一印制林业经营收益权证。县自然资源局和各乡镇人民政府</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街道办事处、国有林场</w:t>
      </w:r>
      <w:r>
        <w:rPr>
          <w:rFonts w:hint="eastAsia" w:ascii="仿宋" w:hAnsi="仿宋" w:eastAsia="仿宋" w:cs="仿宋"/>
          <w:color w:val="000000" w:themeColor="text1"/>
          <w:sz w:val="32"/>
          <w:szCs w:val="32"/>
          <w14:textFill>
            <w14:solidFill>
              <w14:schemeClr w14:val="tx1"/>
            </w14:solidFill>
          </w14:textFill>
        </w:rPr>
        <w:t>配合县林业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开展登记发证工作。</w:t>
      </w:r>
    </w:p>
    <w:p w14:paraId="2DFECD9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第二章 登记范围</w:t>
      </w:r>
    </w:p>
    <w:p w14:paraId="6DE5EA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第六条</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 xml:space="preserve"> </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依法开展以下类型林业经营的，可依照本办法规定的类型办理收益权登记：</w:t>
      </w:r>
    </w:p>
    <w:p w14:paraId="530841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（一）林下空间种植、养殖经营的；</w:t>
      </w:r>
    </w:p>
    <w:p w14:paraId="040C1A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（二）林果、花、叶、皮、脂、茎等采集经营的；</w:t>
      </w:r>
    </w:p>
    <w:p w14:paraId="41E06E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（三）林业碳汇开发经营的；</w:t>
      </w:r>
    </w:p>
    <w:p w14:paraId="187792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（四）公益林（天然商品林）补偿的；</w:t>
      </w:r>
    </w:p>
    <w:p w14:paraId="0DD1AD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（五）森林旅游基地经营的；</w:t>
      </w:r>
    </w:p>
    <w:p w14:paraId="2C7C2F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（六）森林康养基地经营的：</w:t>
      </w:r>
    </w:p>
    <w:p w14:paraId="0E5CEC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（七）湿地资源开发经营的；</w:t>
      </w:r>
    </w:p>
    <w:p w14:paraId="4DCD8A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（八）集体统一经营管理收益量化到户的；</w:t>
      </w:r>
    </w:p>
    <w:p w14:paraId="5F627C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（九）受托管理经营林权的；</w:t>
      </w:r>
    </w:p>
    <w:p w14:paraId="679D21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（十）合作经营林权的；</w:t>
      </w:r>
    </w:p>
    <w:p w14:paraId="7FCF4B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（十一）法律、行政法规规定可以办理收益权登记的其</w:t>
      </w:r>
    </w:p>
    <w:p w14:paraId="6F2D26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jc w:val="both"/>
        <w:textAlignment w:val="baseline"/>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他类型。</w:t>
      </w:r>
    </w:p>
    <w:p w14:paraId="18FF01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仿宋" w:hAnsi="仿宋" w:eastAsia="仿宋" w:cs="仿宋"/>
          <w:b w:val="0"/>
          <w:bCs w:val="0"/>
          <w:i w:val="0"/>
          <w:iCs w:val="0"/>
          <w:caps w:val="0"/>
          <w:color w:val="000000" w:themeColor="text1"/>
          <w:spacing w:val="0"/>
          <w:sz w:val="32"/>
          <w:szCs w:val="32"/>
          <w:lang w:eastAsia="zh-CN"/>
          <w14:textFill>
            <w14:solidFill>
              <w14:schemeClr w14:val="tx1"/>
            </w14:solidFill>
          </w14:textFill>
        </w:rPr>
      </w:pPr>
      <w:r>
        <w:rPr>
          <w:rFonts w:hint="eastAsia" w:ascii="仿宋" w:hAnsi="仿宋" w:eastAsia="仿宋" w:cs="仿宋"/>
          <w:b/>
          <w:bCs/>
          <w:i w:val="0"/>
          <w:iCs w:val="0"/>
          <w:caps w:val="0"/>
          <w:color w:val="000000" w:themeColor="text1"/>
          <w:spacing w:val="0"/>
          <w:sz w:val="32"/>
          <w:szCs w:val="32"/>
          <w:shd w:val="clear" w:fill="FFFFFF"/>
          <w:vertAlign w:val="baseline"/>
          <w:lang w:val="en-US" w:eastAsia="zh-CN"/>
          <w14:textFill>
            <w14:solidFill>
              <w14:schemeClr w14:val="tx1"/>
            </w14:solidFill>
          </w14:textFill>
        </w:rPr>
        <w:t>第七条</w:t>
      </w:r>
      <w:r>
        <w:rPr>
          <w:rFonts w:hint="eastAsia" w:ascii="仿宋" w:hAnsi="仿宋" w:eastAsia="仿宋" w:cs="仿宋"/>
          <w:b w:val="0"/>
          <w:bCs w:val="0"/>
          <w:i w:val="0"/>
          <w:iCs w:val="0"/>
          <w:caps w:val="0"/>
          <w:color w:val="000000" w:themeColor="text1"/>
          <w:spacing w:val="0"/>
          <w:sz w:val="32"/>
          <w:szCs w:val="32"/>
          <w:shd w:val="clear" w:fill="FFFFFF"/>
          <w:vertAlign w:val="baseline"/>
          <w:lang w:val="en-US" w:eastAsia="zh-CN"/>
          <w14:textFill>
            <w14:solidFill>
              <w14:schemeClr w14:val="tx1"/>
            </w14:solidFill>
          </w14:textFill>
        </w:rPr>
        <w:t xml:space="preserve"> </w:t>
      </w:r>
      <w:r>
        <w:rPr>
          <w:rFonts w:hint="eastAsia" w:ascii="仿宋" w:hAnsi="仿宋" w:eastAsia="仿宋" w:cs="仿宋"/>
          <w:b w:val="0"/>
          <w:bCs w:val="0"/>
          <w:i w:val="0"/>
          <w:iCs w:val="0"/>
          <w:caps w:val="0"/>
          <w:color w:val="000000" w:themeColor="text1"/>
          <w:spacing w:val="0"/>
          <w:sz w:val="32"/>
          <w:szCs w:val="32"/>
          <w:shd w:val="clear" w:fill="FFFFFF"/>
          <w:vertAlign w:val="baseline"/>
          <w14:textFill>
            <w14:solidFill>
              <w14:schemeClr w14:val="tx1"/>
            </w14:solidFill>
          </w14:textFill>
        </w:rPr>
        <w:t>林业经营收益权登记应关联原林权证或颁发的林权类不动产权证书；同一经营主体多个宗地或单元连片的，可进行“一本分页”登记；同一宗地同一经营主体多种经营，经营内容登记进行叠加，只颁发一次经营收益权证；同一宗地不同经营主体不同经营类型，可分别颁发经营收益权证</w:t>
      </w:r>
      <w:r>
        <w:rPr>
          <w:rFonts w:hint="eastAsia" w:ascii="仿宋" w:hAnsi="仿宋" w:eastAsia="仿宋" w:cs="仿宋"/>
          <w:b w:val="0"/>
          <w:bCs w:val="0"/>
          <w:i w:val="0"/>
          <w:iCs w:val="0"/>
          <w:caps w:val="0"/>
          <w:color w:val="000000" w:themeColor="text1"/>
          <w:spacing w:val="0"/>
          <w:sz w:val="32"/>
          <w:szCs w:val="32"/>
          <w:shd w:val="clear" w:fill="FFFFFF"/>
          <w:vertAlign w:val="baseline"/>
          <w:lang w:eastAsia="zh-CN"/>
          <w14:textFill>
            <w14:solidFill>
              <w14:schemeClr w14:val="tx1"/>
            </w14:solidFill>
          </w14:textFill>
        </w:rPr>
        <w:t>。</w:t>
      </w:r>
    </w:p>
    <w:p w14:paraId="467D8D4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在本县域范围内林业经营连片面积原则上不少于5亩，经营期限不少于2年的，可以申请林业经营收益权证。</w:t>
      </w:r>
    </w:p>
    <w:p w14:paraId="5E2660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八</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林业经营收益权有下列情形之一的，不得发证：</w:t>
      </w:r>
    </w:p>
    <w:p w14:paraId="10F054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w:t>
      </w:r>
      <w:r>
        <w:rPr>
          <w:rFonts w:hint="eastAsia" w:ascii="仿宋" w:hAnsi="仿宋" w:eastAsia="仿宋" w:cs="仿宋"/>
          <w:color w:val="000000" w:themeColor="text1"/>
          <w:sz w:val="32"/>
          <w:szCs w:val="32"/>
          <w:lang w:val="en-US" w:eastAsia="zh-CN"/>
          <w14:textFill>
            <w14:solidFill>
              <w14:schemeClr w14:val="tx1"/>
            </w14:solidFill>
          </w14:textFill>
        </w:rPr>
        <w:t>所在林地</w:t>
      </w:r>
      <w:r>
        <w:rPr>
          <w:rFonts w:hint="eastAsia" w:ascii="仿宋" w:hAnsi="仿宋" w:eastAsia="仿宋" w:cs="仿宋"/>
          <w:color w:val="000000" w:themeColor="text1"/>
          <w:sz w:val="32"/>
          <w:szCs w:val="32"/>
          <w14:textFill>
            <w14:solidFill>
              <w14:schemeClr w14:val="tx1"/>
            </w14:solidFill>
          </w14:textFill>
        </w:rPr>
        <w:t>未颁发林权证、不动产权证或不动产登记证明；</w:t>
      </w:r>
    </w:p>
    <w:p w14:paraId="1D0B94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w:t>
      </w:r>
      <w:r>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t>申请人已取得林权证或不动产权证书、不动产登记证明的；</w:t>
      </w:r>
    </w:p>
    <w:p w14:paraId="1D90AD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三）</w:t>
      </w:r>
      <w:r>
        <w:rPr>
          <w:rFonts w:hint="eastAsia" w:ascii="仿宋" w:hAnsi="仿宋" w:eastAsia="仿宋" w:cs="仿宋"/>
          <w:color w:val="000000" w:themeColor="text1"/>
          <w:sz w:val="32"/>
          <w:szCs w:val="32"/>
          <w14:textFill>
            <w14:solidFill>
              <w14:schemeClr w14:val="tx1"/>
            </w14:solidFill>
          </w14:textFill>
        </w:rPr>
        <w:t>权属不清或者权属有争议的；</w:t>
      </w:r>
    </w:p>
    <w:p w14:paraId="12C2E1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四</w:t>
      </w:r>
      <w:r>
        <w:rPr>
          <w:rFonts w:hint="eastAsia" w:ascii="仿宋" w:hAnsi="仿宋" w:eastAsia="仿宋" w:cs="仿宋"/>
          <w:color w:val="000000" w:themeColor="text1"/>
          <w:sz w:val="32"/>
          <w:szCs w:val="32"/>
          <w14:textFill>
            <w14:solidFill>
              <w14:schemeClr w14:val="tx1"/>
            </w14:solidFill>
          </w14:textFill>
        </w:rPr>
        <w:t>）林</w:t>
      </w:r>
      <w:r>
        <w:rPr>
          <w:rFonts w:hint="eastAsia" w:ascii="仿宋" w:hAnsi="仿宋" w:eastAsia="仿宋" w:cs="仿宋"/>
          <w:color w:val="000000" w:themeColor="text1"/>
          <w:sz w:val="32"/>
          <w:szCs w:val="32"/>
          <w:lang w:val="en-US" w:eastAsia="zh-CN"/>
          <w14:textFill>
            <w14:solidFill>
              <w14:schemeClr w14:val="tx1"/>
            </w14:solidFill>
          </w14:textFill>
        </w:rPr>
        <w:t>地（权）</w:t>
      </w:r>
      <w:r>
        <w:rPr>
          <w:rFonts w:hint="eastAsia" w:ascii="仿宋" w:hAnsi="仿宋" w:eastAsia="仿宋" w:cs="仿宋"/>
          <w:color w:val="000000" w:themeColor="text1"/>
          <w:sz w:val="32"/>
          <w:szCs w:val="32"/>
          <w14:textFill>
            <w14:solidFill>
              <w14:schemeClr w14:val="tx1"/>
            </w14:solidFill>
          </w14:textFill>
        </w:rPr>
        <w:t>已抵</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质）</w:t>
      </w:r>
      <w:r>
        <w:rPr>
          <w:rFonts w:hint="eastAsia" w:ascii="仿宋" w:hAnsi="仿宋" w:eastAsia="仿宋" w:cs="仿宋"/>
          <w:color w:val="000000" w:themeColor="text1"/>
          <w:sz w:val="32"/>
          <w:szCs w:val="32"/>
          <w14:textFill>
            <w14:solidFill>
              <w14:schemeClr w14:val="tx1"/>
            </w14:solidFill>
          </w14:textFill>
        </w:rPr>
        <w:t>押且未取得抵</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质）</w:t>
      </w:r>
      <w:r>
        <w:rPr>
          <w:rFonts w:hint="eastAsia" w:ascii="仿宋" w:hAnsi="仿宋" w:eastAsia="仿宋" w:cs="仿宋"/>
          <w:color w:val="000000" w:themeColor="text1"/>
          <w:sz w:val="32"/>
          <w:szCs w:val="32"/>
          <w14:textFill>
            <w14:solidFill>
              <w14:schemeClr w14:val="tx1"/>
            </w14:solidFill>
          </w14:textFill>
        </w:rPr>
        <w:t>押权人同意的，但受让人代为清偿债务消灭抵</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质）</w:t>
      </w:r>
      <w:r>
        <w:rPr>
          <w:rFonts w:hint="eastAsia" w:ascii="仿宋" w:hAnsi="仿宋" w:eastAsia="仿宋" w:cs="仿宋"/>
          <w:color w:val="000000" w:themeColor="text1"/>
          <w:sz w:val="32"/>
          <w:szCs w:val="32"/>
          <w14:textFill>
            <w14:solidFill>
              <w14:schemeClr w14:val="tx1"/>
            </w14:solidFill>
          </w14:textFill>
        </w:rPr>
        <w:t>押权的除外；</w:t>
      </w:r>
    </w:p>
    <w:p w14:paraId="224C6C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五</w:t>
      </w:r>
      <w:r>
        <w:rPr>
          <w:rFonts w:hint="eastAsia" w:ascii="仿宋" w:hAnsi="仿宋" w:eastAsia="仿宋" w:cs="仿宋"/>
          <w:color w:val="000000" w:themeColor="text1"/>
          <w:sz w:val="32"/>
          <w:szCs w:val="32"/>
          <w14:textFill>
            <w14:solidFill>
              <w14:schemeClr w14:val="tx1"/>
            </w14:solidFill>
          </w14:textFill>
        </w:rPr>
        <w:t>）被司法机关依法查封、冻结的；</w:t>
      </w:r>
    </w:p>
    <w:p w14:paraId="6A19E29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六</w:t>
      </w:r>
      <w:r>
        <w:rPr>
          <w:rFonts w:hint="eastAsia" w:ascii="仿宋" w:hAnsi="仿宋" w:eastAsia="仿宋" w:cs="仿宋"/>
          <w:color w:val="000000" w:themeColor="text1"/>
          <w:sz w:val="32"/>
          <w:szCs w:val="32"/>
          <w14:textFill>
            <w14:solidFill>
              <w14:schemeClr w14:val="tx1"/>
            </w14:solidFill>
          </w14:textFill>
        </w:rPr>
        <w:t>）林地存在毁林开垦、乱砍滥伐等破坏林业资源行为未整改到位的；</w:t>
      </w:r>
    </w:p>
    <w:p w14:paraId="517E76D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七</w:t>
      </w:r>
      <w:r>
        <w:rPr>
          <w:rFonts w:hint="eastAsia" w:ascii="仿宋" w:hAnsi="仿宋" w:eastAsia="仿宋" w:cs="仿宋"/>
          <w:color w:val="000000" w:themeColor="text1"/>
          <w:sz w:val="32"/>
          <w:szCs w:val="32"/>
          <w14:textFill>
            <w14:solidFill>
              <w14:schemeClr w14:val="tx1"/>
            </w14:solidFill>
          </w14:textFill>
        </w:rPr>
        <w:t>）法律法规禁止开展林业经营的。</w:t>
      </w:r>
    </w:p>
    <w:p w14:paraId="157466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第九条</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林业经营收益权证应当记载以下事项：</w:t>
      </w:r>
    </w:p>
    <w:p w14:paraId="11A99B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（一）林业经营收益权所在林地的坐落、界址、面积、用途等自然状况；</w:t>
      </w:r>
    </w:p>
    <w:p w14:paraId="5964BF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（二）林业经营收益权的权利主体、登记类型、经营内容、权属来源、权利期限、经营期限、权利变化等权属状况；</w:t>
      </w:r>
    </w:p>
    <w:p w14:paraId="60CD86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（三）备注栏，主要记载林业经营收益权利被限制、应提示事项；</w:t>
      </w:r>
    </w:p>
    <w:p w14:paraId="60DD19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（四）其他相关事项。</w:t>
      </w:r>
    </w:p>
    <w:p w14:paraId="700F24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default" w:ascii="仿宋" w:hAnsi="仿宋" w:eastAsia="仿宋" w:cs="仿宋"/>
          <w:color w:val="000000" w:themeColor="text1"/>
          <w:sz w:val="32"/>
          <w:szCs w:val="32"/>
          <w:lang w:val="en-US" w:eastAsia="zh-CN"/>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权利期限以合同载明的期限为准，不得超过权属来源证书的权利期限。</w:t>
      </w:r>
    </w:p>
    <w:p w14:paraId="3039AD0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 xml:space="preserve">章 </w:t>
      </w:r>
      <w:r>
        <w:rPr>
          <w:rFonts w:hint="eastAsia" w:ascii="黑体" w:hAnsi="黑体" w:eastAsia="黑体" w:cs="黑体"/>
          <w:color w:val="000000" w:themeColor="text1"/>
          <w:sz w:val="32"/>
          <w:szCs w:val="32"/>
          <w:lang w:val="en-US" w:eastAsia="zh-CN"/>
          <w14:textFill>
            <w14:solidFill>
              <w14:schemeClr w14:val="tx1"/>
            </w14:solidFill>
          </w14:textFill>
        </w:rPr>
        <w:t>登记程序</w:t>
      </w:r>
    </w:p>
    <w:p w14:paraId="628ACCB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十</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林业经营收益权证申请人应当是在本县域林地上开展林业经营的经营主体。</w:t>
      </w:r>
    </w:p>
    <w:p w14:paraId="5F04AE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十一</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申请林业经营收益权首次登记的，应当提交下列材料：</w:t>
      </w:r>
    </w:p>
    <w:p w14:paraId="31527E9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（一）林业经营收益权证申请表。</w:t>
      </w:r>
    </w:p>
    <w:p w14:paraId="34B0C9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主体资格材料。自然人提供身份证，法人或者其他组织提供统一社会信用代码证和法定代表人或者负责人的身份证明，委托他人办理的，需提供本人、受托人身份证明材料及授权委托书。以合作社（或共同体）名义申请的需提交合作协议和全体成员签字同意的授权</w:t>
      </w:r>
      <w:r>
        <w:rPr>
          <w:rFonts w:hint="eastAsia" w:ascii="仿宋" w:hAnsi="仿宋" w:eastAsia="仿宋" w:cs="仿宋"/>
          <w:color w:val="000000" w:themeColor="text1"/>
          <w:sz w:val="32"/>
          <w:szCs w:val="32"/>
          <w:lang w:val="en-US" w:eastAsia="zh-CN"/>
          <w14:textFill>
            <w14:solidFill>
              <w14:schemeClr w14:val="tx1"/>
            </w14:solidFill>
          </w14:textFill>
        </w:rPr>
        <w:t>委托</w:t>
      </w:r>
      <w:r>
        <w:rPr>
          <w:rFonts w:hint="eastAsia" w:ascii="仿宋" w:hAnsi="仿宋" w:eastAsia="仿宋" w:cs="仿宋"/>
          <w:color w:val="000000" w:themeColor="text1"/>
          <w:sz w:val="32"/>
          <w:szCs w:val="32"/>
          <w14:textFill>
            <w14:solidFill>
              <w14:schemeClr w14:val="tx1"/>
            </w14:solidFill>
          </w14:textFill>
        </w:rPr>
        <w:t>书。</w:t>
      </w:r>
    </w:p>
    <w:p w14:paraId="792B03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w:t>
      </w:r>
      <w:r>
        <w:rPr>
          <w:rFonts w:hint="eastAsia" w:ascii="仿宋" w:hAnsi="仿宋" w:eastAsia="仿宋" w:cs="仿宋"/>
          <w:color w:val="000000" w:themeColor="text1"/>
          <w:sz w:val="32"/>
          <w:szCs w:val="32"/>
          <w:lang w:val="en-US" w:eastAsia="zh-CN"/>
          <w14:textFill>
            <w14:solidFill>
              <w14:schemeClr w14:val="tx1"/>
            </w14:solidFill>
          </w14:textFill>
        </w:rPr>
        <w:t>权属证明</w:t>
      </w:r>
      <w:r>
        <w:rPr>
          <w:rFonts w:hint="eastAsia" w:ascii="仿宋" w:hAnsi="仿宋" w:eastAsia="仿宋" w:cs="仿宋"/>
          <w:color w:val="000000" w:themeColor="text1"/>
          <w:sz w:val="32"/>
          <w:szCs w:val="32"/>
          <w14:textFill>
            <w14:solidFill>
              <w14:schemeClr w14:val="tx1"/>
            </w14:solidFill>
          </w14:textFill>
        </w:rPr>
        <w:t>材料。承包、租赁、合伙、股份合作等林业经营合同、合作章程，林地的林权证（不动产权证</w:t>
      </w:r>
      <w:r>
        <w:rPr>
          <w:rFonts w:hint="eastAsia" w:ascii="仿宋" w:hAnsi="仿宋" w:eastAsia="仿宋" w:cs="仿宋"/>
          <w:color w:val="000000" w:themeColor="text1"/>
          <w:sz w:val="32"/>
          <w:szCs w:val="32"/>
          <w:lang w:val="en-US" w:eastAsia="zh-CN"/>
          <w14:textFill>
            <w14:solidFill>
              <w14:schemeClr w14:val="tx1"/>
            </w14:solidFill>
          </w14:textFill>
        </w:rPr>
        <w:t>或不动产登记证明</w:t>
      </w:r>
      <w:r>
        <w:rPr>
          <w:rFonts w:hint="eastAsia" w:ascii="仿宋" w:hAnsi="仿宋" w:eastAsia="仿宋" w:cs="仿宋"/>
          <w:color w:val="000000" w:themeColor="text1"/>
          <w:sz w:val="32"/>
          <w:szCs w:val="32"/>
          <w14:textFill>
            <w14:solidFill>
              <w14:schemeClr w14:val="tx1"/>
            </w14:solidFill>
          </w14:textFill>
        </w:rPr>
        <w:t>等权属证明），承包山场的付款凭证。国有林场、集体经济组织、家庭承包户等在自有林地上开展林业经营的，仅需提供权属证明。</w:t>
      </w:r>
    </w:p>
    <w:p w14:paraId="7426BB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四）</w:t>
      </w:r>
      <w:r>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t>在国有林地上申请林业经营收益权登记所需的相关材料，包括权属证明、政府批文或国资部门审批意见、合同等。</w:t>
      </w:r>
    </w:p>
    <w:p w14:paraId="0E0DF1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五</w:t>
      </w:r>
      <w:r>
        <w:rPr>
          <w:rFonts w:hint="eastAsia" w:ascii="仿宋" w:hAnsi="仿宋" w:eastAsia="仿宋" w:cs="仿宋"/>
          <w:color w:val="000000" w:themeColor="text1"/>
          <w:sz w:val="32"/>
          <w:szCs w:val="32"/>
          <w14:textFill>
            <w14:solidFill>
              <w14:schemeClr w14:val="tx1"/>
            </w14:solidFill>
          </w14:textFill>
        </w:rPr>
        <w:t>）其他证明材料。</w:t>
      </w:r>
    </w:p>
    <w:p w14:paraId="4A5540D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十二</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受理。林业经营收益权证申请人向县政务服务中心林业窗口递交申请材料，县政务服务中心林业窗口应当对收到的申请材料进行审核，材料齐全予以当场受理，材料不齐全予以退回，并一次性书面告知应当补齐补正的材料。</w:t>
      </w:r>
    </w:p>
    <w:p w14:paraId="4FC9A50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十三</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调查公示。受理后</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个工作日内，县林业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应当联合当地村民委员会对林业经营收益权状况进行调查，调查结果应在</w:t>
      </w:r>
      <w:r>
        <w:rPr>
          <w:rFonts w:hint="eastAsia" w:ascii="仿宋" w:hAnsi="仿宋" w:eastAsia="仿宋" w:cs="仿宋"/>
          <w:color w:val="000000" w:themeColor="text1"/>
          <w:sz w:val="32"/>
          <w:szCs w:val="32"/>
          <w:lang w:val="en-US" w:eastAsia="zh-CN"/>
          <w14:textFill>
            <w14:solidFill>
              <w14:schemeClr w14:val="tx1"/>
            </w14:solidFill>
          </w14:textFill>
        </w:rPr>
        <w:t>当地村民委员会</w:t>
      </w:r>
      <w:r>
        <w:rPr>
          <w:rFonts w:hint="eastAsia" w:ascii="仿宋" w:hAnsi="仿宋" w:eastAsia="仿宋" w:cs="仿宋"/>
          <w:color w:val="000000" w:themeColor="text1"/>
          <w:sz w:val="32"/>
          <w:szCs w:val="32"/>
          <w14:textFill>
            <w14:solidFill>
              <w14:schemeClr w14:val="tx1"/>
            </w14:solidFill>
          </w14:textFill>
        </w:rPr>
        <w:t>公示</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天无异议后，村小组和当地村民委员会</w:t>
      </w:r>
      <w:r>
        <w:rPr>
          <w:rFonts w:hint="eastAsia" w:ascii="仿宋" w:hAnsi="仿宋" w:eastAsia="仿宋" w:cs="仿宋"/>
          <w:color w:val="000000" w:themeColor="text1"/>
          <w:sz w:val="32"/>
          <w:szCs w:val="32"/>
          <w:lang w:val="en-US" w:eastAsia="zh-CN"/>
          <w14:textFill>
            <w14:solidFill>
              <w14:schemeClr w14:val="tx1"/>
            </w14:solidFill>
          </w14:textFill>
        </w:rPr>
        <w:t>出具</w:t>
      </w:r>
      <w:r>
        <w:rPr>
          <w:rFonts w:hint="eastAsia" w:ascii="仿宋" w:hAnsi="仿宋" w:eastAsia="仿宋" w:cs="仿宋"/>
          <w:color w:val="000000" w:themeColor="text1"/>
          <w:sz w:val="32"/>
          <w:szCs w:val="32"/>
          <w14:textFill>
            <w14:solidFill>
              <w14:schemeClr w14:val="tx1"/>
            </w14:solidFill>
          </w14:textFill>
        </w:rPr>
        <w:t>核实意见。</w:t>
      </w:r>
    </w:p>
    <w:p w14:paraId="70BE246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w:t>
      </w:r>
      <w:r>
        <w:rPr>
          <w:rFonts w:hint="eastAsia" w:ascii="仿宋" w:hAnsi="仿宋" w:eastAsia="仿宋" w:cs="仿宋"/>
          <w:b/>
          <w:bCs/>
          <w:color w:val="000000" w:themeColor="text1"/>
          <w:sz w:val="32"/>
          <w:szCs w:val="32"/>
          <w:lang w:val="en-US" w:eastAsia="zh-CN"/>
          <w14:textFill>
            <w14:solidFill>
              <w14:schemeClr w14:val="tx1"/>
            </w14:solidFill>
          </w14:textFill>
        </w:rPr>
        <w:t>四</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初审</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村民委员会</w:t>
      </w:r>
      <w:r>
        <w:rPr>
          <w:rFonts w:hint="eastAsia" w:ascii="仿宋" w:hAnsi="仿宋" w:eastAsia="仿宋" w:cs="仿宋"/>
          <w:color w:val="000000" w:themeColor="text1"/>
          <w:sz w:val="32"/>
          <w:szCs w:val="32"/>
          <w14:textFill>
            <w14:solidFill>
              <w14:schemeClr w14:val="tx1"/>
            </w14:solidFill>
          </w14:textFill>
        </w:rPr>
        <w:t>将申请材料及核实意见一并提交至所在地</w:t>
      </w:r>
      <w:r>
        <w:rPr>
          <w:rFonts w:hint="eastAsia" w:ascii="仿宋" w:hAnsi="仿宋" w:eastAsia="仿宋" w:cs="仿宋"/>
          <w:color w:val="000000" w:themeColor="text1"/>
          <w:sz w:val="32"/>
          <w:szCs w:val="32"/>
          <w:lang w:eastAsia="zh-CN"/>
          <w14:textFill>
            <w14:solidFill>
              <w14:schemeClr w14:val="tx1"/>
            </w14:solidFill>
          </w14:textFill>
        </w:rPr>
        <w:t>乡镇人民政府、街道办事处</w:t>
      </w:r>
      <w:r>
        <w:rPr>
          <w:rFonts w:hint="eastAsia" w:ascii="仿宋" w:hAnsi="仿宋" w:eastAsia="仿宋" w:cs="仿宋"/>
          <w:color w:val="000000" w:themeColor="text1"/>
          <w:sz w:val="32"/>
          <w:szCs w:val="32"/>
          <w14:textFill>
            <w14:solidFill>
              <w14:schemeClr w14:val="tx1"/>
            </w14:solidFill>
          </w14:textFill>
        </w:rPr>
        <w:t>进行初审，经初审合格后报县林业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审核。</w:t>
      </w:r>
    </w:p>
    <w:p w14:paraId="20A82A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第十</w:t>
      </w:r>
      <w:r>
        <w:rPr>
          <w:rFonts w:hint="eastAsia" w:ascii="仿宋" w:hAnsi="仿宋" w:eastAsia="仿宋" w:cs="仿宋"/>
          <w:b/>
          <w:bCs/>
          <w:color w:val="000000" w:themeColor="text1"/>
          <w:sz w:val="32"/>
          <w:szCs w:val="32"/>
          <w:lang w:val="en-US" w:eastAsia="zh-CN"/>
          <w14:textFill>
            <w14:solidFill>
              <w14:schemeClr w14:val="tx1"/>
            </w14:solidFill>
          </w14:textFill>
        </w:rPr>
        <w:t>五</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审核。县林业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重点审核是否符合相关政策规定等，不符合规定的予以退回，并书面告知原因；材料齐全并符合相关规定的，应当于</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个工作日内出具审核意见</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审核意见上报县人民政府批准后，</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向申请人颁发林业经营收益权证。</w:t>
      </w:r>
    </w:p>
    <w:p w14:paraId="727E01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审核过程中，县林业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应当书面征求县自然资源局意见，县自然资源局应当于3个工作日</w:t>
      </w:r>
      <w:r>
        <w:rPr>
          <w:rFonts w:hint="eastAsia" w:ascii="仿宋" w:hAnsi="仿宋" w:eastAsia="仿宋" w:cs="仿宋"/>
          <w:color w:val="000000" w:themeColor="text1"/>
          <w:sz w:val="32"/>
          <w:szCs w:val="32"/>
          <w:lang w:val="en-US" w:eastAsia="zh-CN"/>
          <w14:textFill>
            <w14:solidFill>
              <w14:schemeClr w14:val="tx1"/>
            </w14:solidFill>
          </w14:textFill>
        </w:rPr>
        <w:t>内</w:t>
      </w:r>
      <w:r>
        <w:rPr>
          <w:rFonts w:hint="eastAsia" w:ascii="仿宋" w:hAnsi="仿宋" w:eastAsia="仿宋" w:cs="仿宋"/>
          <w:color w:val="000000" w:themeColor="text1"/>
          <w:sz w:val="32"/>
          <w:szCs w:val="32"/>
          <w14:textFill>
            <w14:solidFill>
              <w14:schemeClr w14:val="tx1"/>
            </w14:solidFill>
          </w14:textFill>
        </w:rPr>
        <w:t>书面反馈意见。</w:t>
      </w:r>
    </w:p>
    <w:p w14:paraId="488616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六</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 发生下列情形之一的，权利人应当向</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县</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林业</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发展中心</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申请变更登记：</w:t>
      </w:r>
    </w:p>
    <w:p w14:paraId="1B9E2E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（一）权利人身份信息变更的；</w:t>
      </w:r>
    </w:p>
    <w:p w14:paraId="26089A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（二）收益权经营内容、经营类型等状况变更的；</w:t>
      </w:r>
    </w:p>
    <w:p w14:paraId="27EB7E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（三）收益权期限发生变化的；</w:t>
      </w:r>
    </w:p>
    <w:p w14:paraId="285F5F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（四）其他不涉及权利转移的变更情形。</w:t>
      </w:r>
    </w:p>
    <w:p w14:paraId="14571C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七</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 发生下列情形之一的，当事人可以申请转移登记：</w:t>
      </w:r>
    </w:p>
    <w:p w14:paraId="6B3911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（一）买卖、互换、赠与收益权的；</w:t>
      </w:r>
    </w:p>
    <w:p w14:paraId="1A3764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（二）以收益权作价出资（入股）的；</w:t>
      </w:r>
    </w:p>
    <w:p w14:paraId="4D14DF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（三）收益权的分割、合并导致权利发生转移的；</w:t>
      </w:r>
    </w:p>
    <w:p w14:paraId="1D6BD3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（四）继承导致权利发生转移的；</w:t>
      </w:r>
    </w:p>
    <w:p w14:paraId="64242F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（五）共有人增加或者减少以及共有份额变化的；</w:t>
      </w:r>
    </w:p>
    <w:p w14:paraId="7CC47A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（六）人民政府生效决定、人民法院、仲裁机构的生效法律文书导致权利发生转移的；</w:t>
      </w:r>
    </w:p>
    <w:p w14:paraId="73BD39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（七）其他权利转移情形。</w:t>
      </w:r>
    </w:p>
    <w:p w14:paraId="46FEC9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八</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w:t>
      </w:r>
      <w:r>
        <w:rPr>
          <w:rFonts w:hint="default"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发生下列情形之一的，权利部门依法办理有关注销登记:</w:t>
      </w:r>
    </w:p>
    <w:p w14:paraId="430FF0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default"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(一)承包、租赁、托管、合作等合同已终止的；</w:t>
      </w:r>
    </w:p>
    <w:p w14:paraId="3620D5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default"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(二)收益权所在林地被征</w:t>
      </w:r>
      <w:r>
        <w:rPr>
          <w:rFonts w:hint="eastAsia"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收、征用</w:t>
      </w:r>
      <w:r>
        <w:rPr>
          <w:rFonts w:hint="default"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等原因导致收益权灭失的；</w:t>
      </w:r>
    </w:p>
    <w:p w14:paraId="26A16B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 w:hAnsi="仿宋" w:eastAsia="仿宋" w:cs="仿宋"/>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32"/>
          <w:szCs w:val="32"/>
          <w:shd w:val="clear" w:fill="FFFFFF"/>
          <w:lang w:val="en-US" w:eastAsia="zh-CN" w:bidi="ar"/>
          <w14:textFill>
            <w14:solidFill>
              <w14:schemeClr w14:val="tx1"/>
            </w14:solidFill>
          </w14:textFill>
        </w:rPr>
        <w:t>(三)权利人自愿放弃收益权的；</w:t>
      </w:r>
    </w:p>
    <w:p w14:paraId="259FD2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仿宋" w:hAnsi="仿宋" w:eastAsia="仿宋" w:cs="仿宋"/>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人民法院</w:t>
      </w:r>
      <w:r>
        <w:rPr>
          <w:rFonts w:hint="eastAsia" w:ascii="仿宋" w:hAnsi="仿宋" w:eastAsia="仿宋" w:cs="仿宋"/>
          <w:i w:val="0"/>
          <w:iCs w:val="0"/>
          <w:caps w:val="0"/>
          <w:color w:val="000000" w:themeColor="text1"/>
          <w:spacing w:val="30"/>
          <w:sz w:val="32"/>
          <w:szCs w:val="32"/>
          <w:shd w:val="clear" w:fill="FFFFFF"/>
          <w:lang w:eastAsia="zh-CN"/>
          <w14:textFill>
            <w14:solidFill>
              <w14:schemeClr w14:val="tx1"/>
            </w14:solidFill>
          </w14:textFill>
        </w:rPr>
        <w:t>、</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仲裁委员会的生效法律文书导致</w:t>
      </w:r>
      <w:r>
        <w:rPr>
          <w:rFonts w:hint="eastAsia" w:ascii="仿宋" w:hAnsi="仿宋" w:eastAsia="仿宋" w:cs="仿宋"/>
          <w:i w:val="0"/>
          <w:iCs w:val="0"/>
          <w:caps w:val="0"/>
          <w:color w:val="000000" w:themeColor="text1"/>
          <w:spacing w:val="30"/>
          <w:sz w:val="32"/>
          <w:szCs w:val="32"/>
          <w:shd w:val="clear" w:fill="FFFFFF"/>
          <w:lang w:val="en-US" w:eastAsia="zh-CN"/>
          <w14:textFill>
            <w14:solidFill>
              <w14:schemeClr w14:val="tx1"/>
            </w14:solidFill>
          </w14:textFill>
        </w:rPr>
        <w:t>收益权</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权利消灭的</w:t>
      </w:r>
      <w:r>
        <w:rPr>
          <w:rFonts w:hint="eastAsia" w:ascii="仿宋" w:hAnsi="仿宋" w:eastAsia="仿宋" w:cs="仿宋"/>
          <w:i w:val="0"/>
          <w:iCs w:val="0"/>
          <w:caps w:val="0"/>
          <w:color w:val="000000" w:themeColor="text1"/>
          <w:spacing w:val="30"/>
          <w:sz w:val="32"/>
          <w:szCs w:val="32"/>
          <w:shd w:val="clear" w:fill="FFFFFF"/>
          <w:lang w:eastAsia="zh-CN"/>
          <w14:textFill>
            <w14:solidFill>
              <w14:schemeClr w14:val="tx1"/>
            </w14:solidFill>
          </w14:textFill>
        </w:rPr>
        <w:t>。</w:t>
      </w:r>
    </w:p>
    <w:p w14:paraId="25460AC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default"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仿宋_GB2312" w:hAnsi="微软雅黑" w:eastAsia="仿宋_GB2312" w:cs="仿宋_GB2312"/>
          <w:i w:val="0"/>
          <w:iCs w:val="0"/>
          <w:caps w:val="0"/>
          <w:color w:val="000000" w:themeColor="text1"/>
          <w:spacing w:val="0"/>
          <w:kern w:val="0"/>
          <w:sz w:val="32"/>
          <w:szCs w:val="32"/>
          <w:shd w:val="clear" w:fill="FFFFFF"/>
          <w:lang w:val="en-US" w:eastAsia="zh-CN" w:bidi="ar"/>
          <w14:textFill>
            <w14:solidFill>
              <w14:schemeClr w14:val="tx1"/>
            </w14:solidFill>
          </w14:textFill>
        </w:rPr>
        <w:t>)法律、法规、规章规定的其他情形。</w:t>
      </w:r>
    </w:p>
    <w:p w14:paraId="64A48E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九</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 申请办理变更、转移、注销登记时，申请人应当提交下列材料：</w:t>
      </w:r>
    </w:p>
    <w:p w14:paraId="6B7198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（一）登记申请表；</w:t>
      </w:r>
    </w:p>
    <w:p w14:paraId="77D8BC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（二）林业经营收益权证原件；</w:t>
      </w:r>
    </w:p>
    <w:p w14:paraId="6266F9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（三）发生变更、转移、注销登记所列情形的有关证明文件。</w:t>
      </w:r>
    </w:p>
    <w:p w14:paraId="0A62D0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center"/>
        <w:textAlignment w:val="baseline"/>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第四章</w:t>
      </w:r>
      <w:r>
        <w:rPr>
          <w:rFonts w:hint="eastAsia" w:ascii="黑体" w:hAnsi="宋体" w:eastAsia="黑体" w:cs="黑体"/>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 质押登记</w:t>
      </w:r>
    </w:p>
    <w:p w14:paraId="7740C3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二</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十条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县林业发展中心</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负责收益权质押登记工作。自然人、法人或其他组织为保障其债权的实现，依法以收益权设定质押的，质押双方当事人应共同书面向</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县林业发展中心</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申请办理质押登记。</w:t>
      </w:r>
    </w:p>
    <w:p w14:paraId="65A025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二</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一</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 申请收益权质押登记的，当事人应当提交下列材料：</w:t>
      </w:r>
    </w:p>
    <w:p w14:paraId="4E830D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（一）出质人和质权人共同签字或盖章的收益权质押登记申请表；</w:t>
      </w:r>
    </w:p>
    <w:p w14:paraId="116D47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（二）收益权质押合同；</w:t>
      </w:r>
    </w:p>
    <w:p w14:paraId="0701E8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（三）双方当事人的身份证明，或当事人签署的相关承诺书；</w:t>
      </w:r>
    </w:p>
    <w:p w14:paraId="5B5CF7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（四）委托代理的，注明委托权限的委托书；</w:t>
      </w:r>
    </w:p>
    <w:p w14:paraId="76188D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（五）其他需要提供的材料。</w:t>
      </w:r>
    </w:p>
    <w:p w14:paraId="242145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收益权经过资产评估的，当事人还应当提交资产评估报告。</w:t>
      </w:r>
    </w:p>
    <w:p w14:paraId="36E17C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二</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二</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 以收益权出质的，出质人与质权人应当订立书面合同。质押合同可以是单独订立的合同，也可以是主合同中的担保条款。合同应当包括以下与质押登记相关的内容：</w:t>
      </w:r>
    </w:p>
    <w:p w14:paraId="49DE6E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（一）当事人的姓名或名称、地址；</w:t>
      </w:r>
    </w:p>
    <w:p w14:paraId="2B7C43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（二）收益权证主要信息；</w:t>
      </w:r>
    </w:p>
    <w:p w14:paraId="2CBC48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（三）被担保债权的种类和数额；</w:t>
      </w:r>
    </w:p>
    <w:p w14:paraId="555D9F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（四）债务人履行债务的期限；</w:t>
      </w:r>
    </w:p>
    <w:p w14:paraId="2BEE2A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（五）质押担保的范围。</w:t>
      </w:r>
    </w:p>
    <w:p w14:paraId="706ED3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第二十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三</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县林业发展中心收</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到当事人提交的质押登记申请文件，应当予以受理，并自收到之日起</w:t>
      </w:r>
      <w:r>
        <w:rPr>
          <w:rFonts w:hint="default" w:ascii="Times New Roman" w:hAnsi="Times New Roman" w:eastAsia="仿宋_GB2312" w:cs="Times New Roman"/>
          <w:i w:val="0"/>
          <w:iCs w:val="0"/>
          <w:caps w:val="0"/>
          <w:color w:val="000000" w:themeColor="text1"/>
          <w:spacing w:val="0"/>
          <w:sz w:val="32"/>
          <w:szCs w:val="32"/>
          <w:shd w:val="clear" w:fill="FFFFFF"/>
          <w:vertAlign w:val="baseline"/>
          <w14:textFill>
            <w14:solidFill>
              <w14:schemeClr w14:val="tx1"/>
            </w14:solidFill>
          </w14:textFill>
        </w:rPr>
        <w:t>5</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个工作日内进行审查，决定是否予以登记。</w:t>
      </w:r>
    </w:p>
    <w:p w14:paraId="1C879F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textAlignment w:val="baseline"/>
        <w:rPr>
          <w:rFonts w:hint="eastAsia" w:ascii="微软雅黑" w:hAnsi="微软雅黑" w:eastAsia="微软雅黑" w:cs="微软雅黑"/>
          <w:i w:val="0"/>
          <w:iCs w:val="0"/>
          <w:caps w:val="0"/>
          <w:color w:val="000000" w:themeColor="text1"/>
          <w:spacing w:val="0"/>
          <w:sz w:val="25"/>
          <w:szCs w:val="25"/>
          <w14:textFill>
            <w14:solidFill>
              <w14:schemeClr w14:val="tx1"/>
            </w14:solidFill>
          </w14:textFill>
        </w:rPr>
      </w:pP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第二十</w:t>
      </w:r>
      <w:r>
        <w:rPr>
          <w:rFonts w:hint="eastAsia" w:ascii="仿宋_GB2312" w:hAnsi="微软雅黑" w:eastAsia="仿宋_GB2312" w:cs="仿宋_GB2312"/>
          <w:b/>
          <w:bCs/>
          <w:i w:val="0"/>
          <w:iCs w:val="0"/>
          <w:caps w:val="0"/>
          <w:color w:val="000000" w:themeColor="text1"/>
          <w:spacing w:val="0"/>
          <w:sz w:val="32"/>
          <w:szCs w:val="32"/>
          <w:shd w:val="clear" w:fill="FFFFFF"/>
          <w:vertAlign w:val="baseline"/>
          <w:lang w:val="en-US" w:eastAsia="zh-CN"/>
          <w14:textFill>
            <w14:solidFill>
              <w14:schemeClr w14:val="tx1"/>
            </w14:solidFill>
          </w14:textFill>
        </w:rPr>
        <w:t>四</w:t>
      </w:r>
      <w:r>
        <w:rPr>
          <w:rFonts w:hint="default" w:ascii="仿宋_GB2312" w:hAnsi="微软雅黑" w:eastAsia="仿宋_GB2312" w:cs="仿宋_GB2312"/>
          <w:b/>
          <w:bCs/>
          <w:i w:val="0"/>
          <w:iCs w:val="0"/>
          <w:caps w:val="0"/>
          <w:color w:val="000000" w:themeColor="text1"/>
          <w:spacing w:val="0"/>
          <w:sz w:val="32"/>
          <w:szCs w:val="32"/>
          <w:shd w:val="clear" w:fill="FFFFFF"/>
          <w:vertAlign w:val="baseline"/>
          <w14:textFill>
            <w14:solidFill>
              <w14:schemeClr w14:val="tx1"/>
            </w14:solidFill>
          </w14:textFill>
        </w:rPr>
        <w:t>条</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 收益权质押登记申请经审查合格的， </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县林业发展中心</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在收益权证上予以登记。经审查发现不符合登记条件的，</w:t>
      </w:r>
      <w:r>
        <w:rPr>
          <w:rFonts w:hint="eastAsia" w:ascii="仿宋_GB2312" w:hAnsi="微软雅黑"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县林业发展中心</w:t>
      </w:r>
      <w:r>
        <w:rPr>
          <w:rFonts w:hint="default" w:ascii="仿宋_GB2312" w:hAnsi="微软雅黑" w:eastAsia="仿宋_GB2312" w:cs="仿宋_GB2312"/>
          <w:i w:val="0"/>
          <w:iCs w:val="0"/>
          <w:caps w:val="0"/>
          <w:color w:val="000000" w:themeColor="text1"/>
          <w:spacing w:val="0"/>
          <w:sz w:val="32"/>
          <w:szCs w:val="32"/>
          <w:shd w:val="clear" w:fill="FFFFFF"/>
          <w:vertAlign w:val="baseline"/>
          <w14:textFill>
            <w14:solidFill>
              <w14:schemeClr w14:val="tx1"/>
            </w14:solidFill>
          </w14:textFill>
        </w:rPr>
        <w:t>作出不予登记的决定，并书面通知当事人。</w:t>
      </w:r>
    </w:p>
    <w:p w14:paraId="58CB4E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jc w:val="both"/>
        <w:rPr>
          <w:rFonts w:hint="eastAsia" w:ascii="仿宋" w:hAnsi="仿宋" w:eastAsia="仿宋" w:cs="仿宋"/>
          <w:i w:val="0"/>
          <w:iCs w:val="0"/>
          <w:caps w:val="0"/>
          <w:color w:val="000000" w:themeColor="text1"/>
          <w:spacing w:val="30"/>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二</w:t>
      </w:r>
      <w:r>
        <w:rPr>
          <w:rFonts w:hint="eastAsia" w:ascii="仿宋" w:hAnsi="仿宋" w:eastAsia="仿宋" w:cs="仿宋"/>
          <w:b/>
          <w:bCs/>
          <w:color w:val="000000" w:themeColor="text1"/>
          <w:sz w:val="32"/>
          <w:szCs w:val="32"/>
          <w14:textFill>
            <w14:solidFill>
              <w14:schemeClr w14:val="tx1"/>
            </w14:solidFill>
          </w14:textFill>
        </w:rPr>
        <w:t>十</w:t>
      </w:r>
      <w:r>
        <w:rPr>
          <w:rFonts w:hint="eastAsia" w:ascii="仿宋" w:hAnsi="仿宋" w:eastAsia="仿宋" w:cs="仿宋"/>
          <w:b/>
          <w:bCs/>
          <w:color w:val="000000" w:themeColor="text1"/>
          <w:sz w:val="32"/>
          <w:szCs w:val="32"/>
          <w:lang w:val="en-US" w:eastAsia="zh-CN"/>
          <w14:textFill>
            <w14:solidFill>
              <w14:schemeClr w14:val="tx1"/>
            </w14:solidFill>
          </w14:textFill>
        </w:rPr>
        <w:t>五</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有下列情形之一的，当事人可以持</w:t>
      </w:r>
      <w:r>
        <w:rPr>
          <w:rFonts w:hint="eastAsia" w:ascii="仿宋" w:hAnsi="仿宋" w:eastAsia="仿宋" w:cs="仿宋"/>
          <w:i w:val="0"/>
          <w:iCs w:val="0"/>
          <w:caps w:val="0"/>
          <w:color w:val="000000" w:themeColor="text1"/>
          <w:spacing w:val="30"/>
          <w:sz w:val="32"/>
          <w:szCs w:val="32"/>
          <w:shd w:val="clear" w:fill="FFFFFF"/>
          <w:lang w:val="en-US" w:eastAsia="zh-CN"/>
          <w14:textFill>
            <w14:solidFill>
              <w14:schemeClr w14:val="tx1"/>
            </w14:solidFill>
          </w14:textFill>
        </w:rPr>
        <w:t>权利</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登记证明、</w:t>
      </w:r>
      <w:r>
        <w:rPr>
          <w:rFonts w:hint="eastAsia" w:ascii="仿宋" w:hAnsi="仿宋" w:eastAsia="仿宋" w:cs="仿宋"/>
          <w:i w:val="0"/>
          <w:iCs w:val="0"/>
          <w:caps w:val="0"/>
          <w:color w:val="000000" w:themeColor="text1"/>
          <w:spacing w:val="30"/>
          <w:sz w:val="32"/>
          <w:szCs w:val="32"/>
          <w:shd w:val="clear" w:fill="FFFFFF"/>
          <w:lang w:val="en-US" w:eastAsia="zh-CN"/>
          <w14:textFill>
            <w14:solidFill>
              <w14:schemeClr w14:val="tx1"/>
            </w14:solidFill>
          </w14:textFill>
        </w:rPr>
        <w:t>质押</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权消灭的材料等必要材料，申请</w:t>
      </w:r>
      <w:r>
        <w:rPr>
          <w:rFonts w:hint="eastAsia" w:ascii="仿宋" w:hAnsi="仿宋" w:eastAsia="仿宋" w:cs="仿宋"/>
          <w:i w:val="0"/>
          <w:iCs w:val="0"/>
          <w:caps w:val="0"/>
          <w:color w:val="000000" w:themeColor="text1"/>
          <w:spacing w:val="30"/>
          <w:sz w:val="32"/>
          <w:szCs w:val="32"/>
          <w:shd w:val="clear" w:fill="FFFFFF"/>
          <w:lang w:val="en-US" w:eastAsia="zh-CN"/>
          <w14:textFill>
            <w14:solidFill>
              <w14:schemeClr w14:val="tx1"/>
            </w14:solidFill>
          </w14:textFill>
        </w:rPr>
        <w:t>质押</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权注销登记：</w:t>
      </w:r>
    </w:p>
    <w:p w14:paraId="64D71F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3"/>
        <w:jc w:val="both"/>
        <w:rPr>
          <w:rFonts w:hint="eastAsia" w:ascii="仿宋" w:hAnsi="仿宋" w:eastAsia="仿宋" w:cs="仿宋"/>
          <w:i w:val="0"/>
          <w:iCs w:val="0"/>
          <w:caps w:val="0"/>
          <w:color w:val="000000" w:themeColor="text1"/>
          <w:spacing w:val="30"/>
          <w:sz w:val="32"/>
          <w:szCs w:val="32"/>
          <w14:textFill>
            <w14:solidFill>
              <w14:schemeClr w14:val="tx1"/>
            </w14:solidFill>
          </w14:textFill>
        </w:rPr>
      </w:pP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（一）主债权消灭；</w:t>
      </w:r>
    </w:p>
    <w:p w14:paraId="3ABF75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3"/>
        <w:jc w:val="both"/>
        <w:rPr>
          <w:rFonts w:hint="eastAsia" w:ascii="仿宋" w:hAnsi="仿宋" w:eastAsia="仿宋" w:cs="仿宋"/>
          <w:i w:val="0"/>
          <w:iCs w:val="0"/>
          <w:caps w:val="0"/>
          <w:color w:val="000000" w:themeColor="text1"/>
          <w:spacing w:val="30"/>
          <w:sz w:val="32"/>
          <w:szCs w:val="32"/>
          <w14:textFill>
            <w14:solidFill>
              <w14:schemeClr w14:val="tx1"/>
            </w14:solidFill>
          </w14:textFill>
        </w:rPr>
      </w:pP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（二）</w:t>
      </w:r>
      <w:r>
        <w:rPr>
          <w:rFonts w:hint="eastAsia" w:ascii="仿宋" w:hAnsi="仿宋" w:eastAsia="仿宋" w:cs="仿宋"/>
          <w:i w:val="0"/>
          <w:iCs w:val="0"/>
          <w:caps w:val="0"/>
          <w:color w:val="000000" w:themeColor="text1"/>
          <w:spacing w:val="30"/>
          <w:sz w:val="32"/>
          <w:szCs w:val="32"/>
          <w:shd w:val="clear" w:fill="FFFFFF"/>
          <w:lang w:val="en-US" w:eastAsia="zh-CN"/>
          <w14:textFill>
            <w14:solidFill>
              <w14:schemeClr w14:val="tx1"/>
            </w14:solidFill>
          </w14:textFill>
        </w:rPr>
        <w:t>质押</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权已经实现；</w:t>
      </w:r>
    </w:p>
    <w:p w14:paraId="06808D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3"/>
        <w:jc w:val="both"/>
        <w:rPr>
          <w:rFonts w:hint="eastAsia" w:ascii="仿宋" w:hAnsi="仿宋" w:eastAsia="仿宋" w:cs="仿宋"/>
          <w:i w:val="0"/>
          <w:iCs w:val="0"/>
          <w:caps w:val="0"/>
          <w:color w:val="000000" w:themeColor="text1"/>
          <w:spacing w:val="30"/>
          <w:sz w:val="32"/>
          <w:szCs w:val="32"/>
          <w14:textFill>
            <w14:solidFill>
              <w14:schemeClr w14:val="tx1"/>
            </w14:solidFill>
          </w14:textFill>
        </w:rPr>
      </w:pP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（三）</w:t>
      </w:r>
      <w:r>
        <w:rPr>
          <w:rFonts w:hint="eastAsia" w:ascii="仿宋" w:hAnsi="仿宋" w:eastAsia="仿宋" w:cs="仿宋"/>
          <w:i w:val="0"/>
          <w:iCs w:val="0"/>
          <w:caps w:val="0"/>
          <w:color w:val="000000" w:themeColor="text1"/>
          <w:spacing w:val="30"/>
          <w:sz w:val="32"/>
          <w:szCs w:val="32"/>
          <w:shd w:val="clear" w:fill="FFFFFF"/>
          <w:lang w:val="en-US" w:eastAsia="zh-CN"/>
          <w14:textFill>
            <w14:solidFill>
              <w14:schemeClr w14:val="tx1"/>
            </w14:solidFill>
          </w14:textFill>
        </w:rPr>
        <w:t>质</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押权人放弃抵押权；</w:t>
      </w:r>
    </w:p>
    <w:p w14:paraId="275ADB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3"/>
        <w:jc w:val="both"/>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（四）法律、行政法规规定</w:t>
      </w:r>
      <w:r>
        <w:rPr>
          <w:rFonts w:hint="eastAsia" w:ascii="仿宋" w:hAnsi="仿宋" w:eastAsia="仿宋" w:cs="仿宋"/>
          <w:i w:val="0"/>
          <w:iCs w:val="0"/>
          <w:caps w:val="0"/>
          <w:color w:val="000000" w:themeColor="text1"/>
          <w:spacing w:val="30"/>
          <w:sz w:val="32"/>
          <w:szCs w:val="32"/>
          <w:shd w:val="clear" w:fill="FFFFFF"/>
          <w:lang w:val="en-US" w:eastAsia="zh-CN"/>
          <w14:textFill>
            <w14:solidFill>
              <w14:schemeClr w14:val="tx1"/>
            </w14:solidFill>
          </w14:textFill>
        </w:rPr>
        <w:t>质</w:t>
      </w:r>
      <w:r>
        <w:rPr>
          <w:rFonts w:hint="eastAsia" w:ascii="仿宋" w:hAnsi="仿宋" w:eastAsia="仿宋" w:cs="仿宋"/>
          <w:i w:val="0"/>
          <w:iCs w:val="0"/>
          <w:caps w:val="0"/>
          <w:color w:val="000000" w:themeColor="text1"/>
          <w:spacing w:val="30"/>
          <w:sz w:val="32"/>
          <w:szCs w:val="32"/>
          <w:shd w:val="clear" w:fill="FFFFFF"/>
          <w14:textFill>
            <w14:solidFill>
              <w14:schemeClr w14:val="tx1"/>
            </w14:solidFill>
          </w14:textFill>
        </w:rPr>
        <w:t>押权消灭的其他情形。</w:t>
      </w:r>
    </w:p>
    <w:p w14:paraId="727CEF7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五</w:t>
      </w:r>
      <w:r>
        <w:rPr>
          <w:rFonts w:hint="eastAsia" w:ascii="黑体" w:hAnsi="黑体" w:eastAsia="黑体" w:cs="黑体"/>
          <w:color w:val="000000" w:themeColor="text1"/>
          <w:sz w:val="32"/>
          <w:szCs w:val="32"/>
          <w14:textFill>
            <w14:solidFill>
              <w14:schemeClr w14:val="tx1"/>
            </w14:solidFill>
          </w14:textFill>
        </w:rPr>
        <w:t>章</w:t>
      </w:r>
      <w:r>
        <w:rPr>
          <w:rFonts w:hint="eastAsia" w:ascii="黑体" w:hAnsi="黑体" w:eastAsia="黑体" w:cs="黑体"/>
          <w:color w:val="000000" w:themeColor="text1"/>
          <w:sz w:val="32"/>
          <w:szCs w:val="32"/>
          <w:lang w:val="en-US" w:eastAsia="zh-CN"/>
          <w14:textFill>
            <w14:solidFill>
              <w14:schemeClr w14:val="tx1"/>
            </w14:solidFill>
          </w14:textFill>
        </w:rPr>
        <w:t xml:space="preserve"> 登记管理</w:t>
      </w:r>
    </w:p>
    <w:p w14:paraId="776C9E2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二</w:t>
      </w:r>
      <w:r>
        <w:rPr>
          <w:rFonts w:hint="eastAsia" w:ascii="仿宋" w:hAnsi="仿宋" w:eastAsia="仿宋" w:cs="仿宋"/>
          <w:b/>
          <w:bCs/>
          <w:color w:val="000000" w:themeColor="text1"/>
          <w:sz w:val="32"/>
          <w:szCs w:val="32"/>
          <w14:textFill>
            <w14:solidFill>
              <w14:schemeClr w14:val="tx1"/>
            </w14:solidFill>
          </w14:textFill>
        </w:rPr>
        <w:t>十</w:t>
      </w:r>
      <w:r>
        <w:rPr>
          <w:rFonts w:hint="eastAsia" w:ascii="仿宋" w:hAnsi="仿宋" w:eastAsia="仿宋" w:cs="仿宋"/>
          <w:b/>
          <w:bCs/>
          <w:color w:val="000000" w:themeColor="text1"/>
          <w:sz w:val="32"/>
          <w:szCs w:val="32"/>
          <w:lang w:val="en-US" w:eastAsia="zh-CN"/>
          <w14:textFill>
            <w14:solidFill>
              <w14:schemeClr w14:val="tx1"/>
            </w14:solidFill>
          </w14:textFill>
        </w:rPr>
        <w:t>六</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应当与县自然资源局建立协同和数据共享机制，实现林权流转审核、林业经营收益权证核发和林权类不动产登记数据推送共享，防止一权多卖、多押。</w:t>
      </w:r>
    </w:p>
    <w:p w14:paraId="69B49E8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二</w:t>
      </w:r>
      <w:r>
        <w:rPr>
          <w:rFonts w:hint="eastAsia" w:ascii="仿宋" w:hAnsi="仿宋" w:eastAsia="仿宋" w:cs="仿宋"/>
          <w:b/>
          <w:bCs/>
          <w:color w:val="000000" w:themeColor="text1"/>
          <w:sz w:val="32"/>
          <w:szCs w:val="32"/>
          <w14:textFill>
            <w14:solidFill>
              <w14:schemeClr w14:val="tx1"/>
            </w14:solidFill>
          </w14:textFill>
        </w:rPr>
        <w:t>十</w:t>
      </w:r>
      <w:r>
        <w:rPr>
          <w:rFonts w:hint="eastAsia" w:ascii="仿宋" w:hAnsi="仿宋" w:eastAsia="仿宋" w:cs="仿宋"/>
          <w:b/>
          <w:bCs/>
          <w:color w:val="000000" w:themeColor="text1"/>
          <w:sz w:val="32"/>
          <w:szCs w:val="32"/>
          <w:lang w:val="en-US" w:eastAsia="zh-CN"/>
          <w14:textFill>
            <w14:solidFill>
              <w14:schemeClr w14:val="tx1"/>
            </w14:solidFill>
          </w14:textFill>
        </w:rPr>
        <w:t>七</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林业经营收益权证所载信息与经营实际情况不相符的，以林业经营收益权证载明信息为准。林业经营收益权证载明事项发生需要办理抵押、注销的情形时，持证人应当办理相关手续；未及时办理，所产生的法律责任由持证人承担。</w:t>
      </w:r>
      <w:r>
        <w:rPr>
          <w:rFonts w:hint="eastAsia" w:ascii="仿宋" w:hAnsi="仿宋" w:eastAsia="仿宋" w:cs="仿宋"/>
          <w:color w:val="000000" w:themeColor="text1"/>
          <w:sz w:val="32"/>
          <w:szCs w:val="32"/>
          <w:lang w:val="en-US" w:eastAsia="zh-CN"/>
          <w14:textFill>
            <w14:solidFill>
              <w14:schemeClr w14:val="tx1"/>
            </w14:solidFill>
          </w14:textFill>
        </w:rPr>
        <w:t>造成损失的，依法由持证人承担赔偿责任。</w:t>
      </w:r>
    </w:p>
    <w:p w14:paraId="183E392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二</w:t>
      </w:r>
      <w:r>
        <w:rPr>
          <w:rFonts w:hint="eastAsia" w:ascii="仿宋" w:hAnsi="仿宋" w:eastAsia="仿宋" w:cs="仿宋"/>
          <w:b/>
          <w:bCs/>
          <w:color w:val="000000" w:themeColor="text1"/>
          <w:sz w:val="32"/>
          <w:szCs w:val="32"/>
          <w14:textFill>
            <w14:solidFill>
              <w14:schemeClr w14:val="tx1"/>
            </w14:solidFill>
          </w14:textFill>
        </w:rPr>
        <w:t>十</w:t>
      </w:r>
      <w:r>
        <w:rPr>
          <w:rFonts w:hint="eastAsia" w:ascii="仿宋" w:hAnsi="仿宋" w:eastAsia="仿宋" w:cs="仿宋"/>
          <w:b/>
          <w:bCs/>
          <w:color w:val="000000" w:themeColor="text1"/>
          <w:sz w:val="32"/>
          <w:szCs w:val="32"/>
          <w:lang w:val="en-US" w:eastAsia="zh-CN"/>
          <w14:textFill>
            <w14:solidFill>
              <w14:schemeClr w14:val="tx1"/>
            </w14:solidFill>
          </w14:textFill>
        </w:rPr>
        <w:t>八</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申请人提供虚假申请材料的，一经查实，县林业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有权收回并注销所颁林业经营收益权证，并自注销之日起两年内不得再次申请办理，相关行为信息推送至江西省林业信用数据库。</w:t>
      </w:r>
    </w:p>
    <w:p w14:paraId="31C5B15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val="en-US" w:eastAsia="zh-CN"/>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章 附则</w:t>
      </w:r>
    </w:p>
    <w:p w14:paraId="6F1C278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二</w:t>
      </w:r>
      <w:r>
        <w:rPr>
          <w:rFonts w:hint="eastAsia" w:ascii="仿宋" w:hAnsi="仿宋" w:eastAsia="仿宋" w:cs="仿宋"/>
          <w:b/>
          <w:bCs/>
          <w:color w:val="000000" w:themeColor="text1"/>
          <w:sz w:val="32"/>
          <w:szCs w:val="32"/>
          <w14:textFill>
            <w14:solidFill>
              <w14:schemeClr w14:val="tx1"/>
            </w14:solidFill>
          </w14:textFill>
        </w:rPr>
        <w:t>十</w:t>
      </w:r>
      <w:r>
        <w:rPr>
          <w:rFonts w:hint="eastAsia" w:ascii="仿宋" w:hAnsi="仿宋" w:eastAsia="仿宋" w:cs="仿宋"/>
          <w:b/>
          <w:bCs/>
          <w:color w:val="000000" w:themeColor="text1"/>
          <w:sz w:val="32"/>
          <w:szCs w:val="32"/>
          <w:lang w:val="en-US" w:eastAsia="zh-CN"/>
          <w14:textFill>
            <w14:solidFill>
              <w14:schemeClr w14:val="tx1"/>
            </w14:solidFill>
          </w14:textFill>
        </w:rPr>
        <w:t>九</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林业经营收益权证核发工作经费由县财政保障，统一纳入预算。不得向申请人收取任何费用。</w:t>
      </w:r>
    </w:p>
    <w:p w14:paraId="21040CC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三十</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本办法由</w:t>
      </w:r>
      <w:r>
        <w:rPr>
          <w:rFonts w:hint="eastAsia" w:ascii="仿宋" w:hAnsi="仿宋" w:eastAsia="仿宋" w:cs="仿宋"/>
          <w:color w:val="000000" w:themeColor="text1"/>
          <w:sz w:val="32"/>
          <w:szCs w:val="32"/>
          <w:lang w:val="en-US" w:eastAsia="zh-CN"/>
          <w14:textFill>
            <w14:solidFill>
              <w14:schemeClr w14:val="tx1"/>
            </w14:solidFill>
          </w14:textFill>
        </w:rPr>
        <w:t>横峰县</w:t>
      </w:r>
      <w:r>
        <w:rPr>
          <w:rFonts w:hint="eastAsia" w:ascii="仿宋" w:hAnsi="仿宋" w:eastAsia="仿宋" w:cs="仿宋"/>
          <w:color w:val="000000" w:themeColor="text1"/>
          <w:sz w:val="32"/>
          <w:szCs w:val="32"/>
          <w14:textFill>
            <w14:solidFill>
              <w14:schemeClr w14:val="tx1"/>
            </w14:solidFill>
          </w14:textFill>
        </w:rPr>
        <w:t>林业</w:t>
      </w:r>
      <w:r>
        <w:rPr>
          <w:rFonts w:hint="eastAsia" w:ascii="仿宋" w:hAnsi="仿宋" w:eastAsia="仿宋" w:cs="仿宋"/>
          <w:color w:val="000000" w:themeColor="text1"/>
          <w:sz w:val="32"/>
          <w:szCs w:val="32"/>
          <w:lang w:val="en-US" w:eastAsia="zh-CN"/>
          <w14:textFill>
            <w14:solidFill>
              <w14:schemeClr w14:val="tx1"/>
            </w14:solidFill>
          </w14:textFill>
        </w:rPr>
        <w:t>发展中心</w:t>
      </w:r>
      <w:r>
        <w:rPr>
          <w:rFonts w:hint="eastAsia" w:ascii="仿宋" w:hAnsi="仿宋" w:eastAsia="仿宋" w:cs="仿宋"/>
          <w:color w:val="000000" w:themeColor="text1"/>
          <w:sz w:val="32"/>
          <w:szCs w:val="32"/>
          <w14:textFill>
            <w14:solidFill>
              <w14:schemeClr w14:val="tx1"/>
            </w14:solidFill>
          </w14:textFill>
        </w:rPr>
        <w:t>负责解释。</w:t>
      </w:r>
    </w:p>
    <w:p w14:paraId="241B02B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w:t>
      </w:r>
      <w:r>
        <w:rPr>
          <w:rFonts w:hint="eastAsia" w:ascii="仿宋" w:hAnsi="仿宋" w:eastAsia="仿宋" w:cs="仿宋"/>
          <w:b/>
          <w:bCs/>
          <w:color w:val="000000" w:themeColor="text1"/>
          <w:sz w:val="32"/>
          <w:szCs w:val="32"/>
          <w:lang w:val="en-US" w:eastAsia="zh-CN"/>
          <w14:textFill>
            <w14:solidFill>
              <w14:schemeClr w14:val="tx1"/>
            </w14:solidFill>
          </w14:textFill>
        </w:rPr>
        <w:t>三</w:t>
      </w:r>
      <w:r>
        <w:rPr>
          <w:rFonts w:hint="eastAsia" w:ascii="仿宋" w:hAnsi="仿宋" w:eastAsia="仿宋" w:cs="仿宋"/>
          <w:b/>
          <w:bCs/>
          <w:color w:val="000000" w:themeColor="text1"/>
          <w:sz w:val="32"/>
          <w:szCs w:val="32"/>
          <w14:textFill>
            <w14:solidFill>
              <w14:schemeClr w14:val="tx1"/>
            </w14:solidFill>
          </w14:textFill>
        </w:rPr>
        <w:t>十</w:t>
      </w:r>
      <w:r>
        <w:rPr>
          <w:rFonts w:hint="eastAsia" w:ascii="仿宋" w:hAnsi="仿宋" w:eastAsia="仿宋" w:cs="仿宋"/>
          <w:b/>
          <w:bCs/>
          <w:color w:val="000000" w:themeColor="text1"/>
          <w:sz w:val="32"/>
          <w:szCs w:val="32"/>
          <w:lang w:val="en-US" w:eastAsia="zh-CN"/>
          <w14:textFill>
            <w14:solidFill>
              <w14:schemeClr w14:val="tx1"/>
            </w14:solidFill>
          </w14:textFill>
        </w:rPr>
        <w:t>一</w:t>
      </w:r>
      <w:r>
        <w:rPr>
          <w:rFonts w:hint="eastAsia" w:ascii="仿宋" w:hAnsi="仿宋" w:eastAsia="仿宋" w:cs="仿宋"/>
          <w:b/>
          <w:bCs/>
          <w:color w:val="000000" w:themeColor="text1"/>
          <w:sz w:val="32"/>
          <w:szCs w:val="32"/>
          <w14:textFill>
            <w14:solidFill>
              <w14:schemeClr w14:val="tx1"/>
            </w14:solidFill>
          </w14:textFill>
        </w:rPr>
        <w:t>条</w:t>
      </w:r>
      <w:r>
        <w:rPr>
          <w:rFonts w:hint="eastAsia" w:ascii="仿宋" w:hAnsi="仿宋" w:eastAsia="仿宋" w:cs="仿宋"/>
          <w:color w:val="000000" w:themeColor="text1"/>
          <w:sz w:val="32"/>
          <w:szCs w:val="32"/>
          <w14:textFill>
            <w14:solidFill>
              <w14:schemeClr w14:val="tx1"/>
            </w14:solidFill>
          </w14:textFill>
        </w:rPr>
        <w:t xml:space="preserve"> 本办法自发文之日起施行，执行期二年。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zNGNlMTc3OWNhMTFhMmViYjBjYWQwYzMyOWE5YTMifQ=="/>
  </w:docVars>
  <w:rsids>
    <w:rsidRoot w:val="27A0219E"/>
    <w:rsid w:val="08A1637A"/>
    <w:rsid w:val="09D94E35"/>
    <w:rsid w:val="150A67C0"/>
    <w:rsid w:val="199033C8"/>
    <w:rsid w:val="19BB08C0"/>
    <w:rsid w:val="1AF64B75"/>
    <w:rsid w:val="1FB87AB1"/>
    <w:rsid w:val="214B7668"/>
    <w:rsid w:val="27A0219E"/>
    <w:rsid w:val="2BF6069B"/>
    <w:rsid w:val="35BE10C4"/>
    <w:rsid w:val="3E1E521D"/>
    <w:rsid w:val="4ABD14F2"/>
    <w:rsid w:val="51AB4E35"/>
    <w:rsid w:val="54B873BB"/>
    <w:rsid w:val="58673424"/>
    <w:rsid w:val="594F351E"/>
    <w:rsid w:val="5ED37C4A"/>
    <w:rsid w:val="5EE6612C"/>
    <w:rsid w:val="604E4DE1"/>
    <w:rsid w:val="6D615D8D"/>
    <w:rsid w:val="71773DCD"/>
    <w:rsid w:val="7B840095"/>
    <w:rsid w:val="7BDA1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3646</Words>
  <Characters>3646</Characters>
  <Lines>0</Lines>
  <Paragraphs>0</Paragraphs>
  <TotalTime>35</TotalTime>
  <ScaleCrop>false</ScaleCrop>
  <LinksUpToDate>false</LinksUpToDate>
  <CharactersWithSpaces>3674</CharactersWithSpaces>
  <Application>WPS Office_12.1.0.18372_F1E327BC-269C-435d-A152-05C5408002CA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2024-08-15T23:49:00Z</dcterms:created>
  <dc:creator>WPS_1689216897</dc:creator>
  <cp:lastModifiedBy>新华</cp:lastModifiedBy>
  <cp:lastPrinted>2024-11-27T06:40:27Z</cp:lastPrinted>
  <dcterms:modified xsi:type="dcterms:W3CDTF">2024-11-27T07:13:46Z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2052-12.1.0.18372</vt:lpwstr>
  </property>
  <property fmtid="{D5CDD505-2E9C-101B-9397-08002B2CF9AE}" pid="3" name="ICV">
    <vt:lpwstr>A3E2DB30838448B583681E1F9D52F895_11</vt:lpwstr>
  </property>
</Properties>
</file>