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04359B">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color w:val="auto"/>
          <w:sz w:val="44"/>
          <w:szCs w:val="44"/>
        </w:rPr>
      </w:pPr>
      <w:r>
        <w:rPr>
          <w:rFonts w:hint="eastAsia" w:ascii="宋体" w:hAnsi="宋体" w:eastAsia="宋体" w:cs="宋体"/>
          <w:color w:val="auto"/>
          <w:sz w:val="44"/>
          <w:szCs w:val="44"/>
          <w:lang w:val="en-US" w:eastAsia="zh-CN"/>
        </w:rPr>
        <w:t>横峰</w:t>
      </w:r>
      <w:r>
        <w:rPr>
          <w:rFonts w:hint="eastAsia" w:ascii="宋体" w:hAnsi="宋体" w:eastAsia="宋体" w:cs="宋体"/>
          <w:color w:val="auto"/>
          <w:sz w:val="44"/>
          <w:szCs w:val="44"/>
        </w:rPr>
        <w:t>县清理规范林权确权登记历史遗留</w:t>
      </w:r>
    </w:p>
    <w:p w14:paraId="35032957">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color w:val="auto"/>
          <w:sz w:val="44"/>
          <w:szCs w:val="44"/>
          <w:lang w:eastAsia="zh-CN"/>
        </w:rPr>
      </w:pPr>
      <w:r>
        <w:rPr>
          <w:rFonts w:hint="eastAsia" w:ascii="宋体" w:hAnsi="宋体" w:eastAsia="宋体" w:cs="宋体"/>
          <w:color w:val="auto"/>
          <w:sz w:val="44"/>
          <w:szCs w:val="44"/>
        </w:rPr>
        <w:t>问题工作实施方案</w:t>
      </w:r>
      <w:r>
        <w:rPr>
          <w:rFonts w:hint="eastAsia" w:ascii="宋体" w:hAnsi="宋体" w:eastAsia="宋体" w:cs="宋体"/>
          <w:color w:val="auto"/>
          <w:sz w:val="44"/>
          <w:szCs w:val="44"/>
          <w:lang w:eastAsia="zh-CN"/>
        </w:rPr>
        <w:t>（</w:t>
      </w:r>
      <w:r>
        <w:rPr>
          <w:rFonts w:hint="eastAsia" w:ascii="宋体" w:hAnsi="宋体" w:eastAsia="宋体" w:cs="宋体"/>
          <w:color w:val="auto"/>
          <w:sz w:val="44"/>
          <w:szCs w:val="44"/>
          <w:lang w:val="en-US" w:eastAsia="zh-CN"/>
        </w:rPr>
        <w:t>试行</w:t>
      </w:r>
      <w:r>
        <w:rPr>
          <w:rFonts w:hint="eastAsia" w:ascii="宋体" w:hAnsi="宋体" w:eastAsia="宋体" w:cs="宋体"/>
          <w:color w:val="auto"/>
          <w:sz w:val="44"/>
          <w:szCs w:val="44"/>
          <w:lang w:eastAsia="zh-CN"/>
        </w:rPr>
        <w:t>）</w:t>
      </w:r>
    </w:p>
    <w:p w14:paraId="123CA8AD">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2"/>
          <w:szCs w:val="32"/>
        </w:rPr>
      </w:pPr>
    </w:p>
    <w:p w14:paraId="621F9C70">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2"/>
          <w:szCs w:val="32"/>
        </w:rPr>
      </w:pPr>
    </w:p>
    <w:p w14:paraId="060477FF">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为贯彻落实《江西省深化集体林权制度改革先行区建设方案》和《自然资源部办公厅国家林业和草原局办公室关于印发〈清理规范林权确权登记历史遗留问题试点方案〉的通知》（自然资办函〔2021〕1221号）要求，深入开展我县林权确权登记工作，稳妥推进林权确权登记历史遗留问题清理规范，探索清理规范林权确权登记历史遗留问题的处置方法和解决路径，结合我县实际，制定本方案。</w:t>
      </w:r>
    </w:p>
    <w:p w14:paraId="2CBAA065">
      <w:pPr>
        <w:keepNext w:val="0"/>
        <w:keepLines w:val="0"/>
        <w:pageBreakBefore w:val="0"/>
        <w:widowControl/>
        <w:numPr>
          <w:ilvl w:val="0"/>
          <w:numId w:val="1"/>
        </w:numPr>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color w:val="auto"/>
          <w:sz w:val="32"/>
          <w:szCs w:val="32"/>
        </w:rPr>
      </w:pPr>
      <w:r>
        <w:rPr>
          <w:rFonts w:hint="eastAsia" w:ascii="黑体" w:hAnsi="黑体" w:eastAsia="黑体" w:cs="黑体"/>
          <w:color w:val="auto"/>
          <w:sz w:val="32"/>
          <w:szCs w:val="32"/>
        </w:rPr>
        <w:t>指导思想</w:t>
      </w:r>
    </w:p>
    <w:p w14:paraId="17C88B8D">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以习近平新时代中国特色社会主义思想为指导，全面贯彻习近平生态文明思想，认真落实习近平总书记考察江西重要讲话以及党的二十届三中全会精神，坚持以人民为中心，以林业改革为动力，对林权确权登记工作纵深推进，对历史遗留问题进行清理规范，推动林权登记法治化、规范化、标准化、信息化。</w:t>
      </w:r>
    </w:p>
    <w:p w14:paraId="23357912">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坚持原有证书继续有效，不变不换，不否定原有登记成果，不搞推倒重来，确保林权登记的连续稳定。坚持问题导向，全方位、多角度研究解决林权登记实践中的难点堵点。坚持人民立场，尊重群众意愿，便民利民，切实维护林农和经营主体的合法权益。坚持属地管理原则，充分发挥基层自治组织作用，压实乡镇村组的责任。坚持依法依规，标本兼治，化存量与防增量并重，合理妥善解决历史遗留问题。</w:t>
      </w:r>
    </w:p>
    <w:p w14:paraId="1261C84E">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二、</w:t>
      </w:r>
      <w:r>
        <w:rPr>
          <w:rFonts w:hint="eastAsia" w:ascii="黑体" w:hAnsi="黑体" w:eastAsia="黑体" w:cs="黑体"/>
          <w:color w:val="auto"/>
          <w:sz w:val="32"/>
          <w:szCs w:val="32"/>
        </w:rPr>
        <w:t>工作目标</w:t>
      </w:r>
    </w:p>
    <w:p w14:paraId="64613B4C">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要进一步规范林权类不动产登记，统一登记标准，优化登记流程，精简办事环节，完善登记成果，实现林权登记权属清楚准确、群众满意的目标。深入解决我县林权登记中存在的难点和堵点问题，探索清理规范林权确权登记历史遗留问题的处置方法和解决路径，形成可操作、可推广、可复制的历史遗留问题清理规范经验。</w:t>
      </w:r>
    </w:p>
    <w:p w14:paraId="0B90F407">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三</w:t>
      </w:r>
      <w:r>
        <w:rPr>
          <w:rFonts w:hint="eastAsia" w:ascii="黑体" w:hAnsi="黑体" w:eastAsia="黑体" w:cs="黑体"/>
          <w:color w:val="auto"/>
          <w:sz w:val="32"/>
          <w:szCs w:val="32"/>
        </w:rPr>
        <w:t>、工作任务</w:t>
      </w:r>
    </w:p>
    <w:p w14:paraId="7A0D11DE">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按照工作要求，对林权确权登记发证情况深入摸底调查，对历史遗留问题进行清理规范，全面履行好林权登记职责。</w:t>
      </w:r>
    </w:p>
    <w:p w14:paraId="1CA58C6F">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（一）全面完成数据整合。县自然资源局和县</w:t>
      </w:r>
      <w:r>
        <w:rPr>
          <w:rFonts w:hint="eastAsia" w:ascii="仿宋" w:hAnsi="仿宋" w:eastAsia="仿宋" w:cs="仿宋"/>
          <w:color w:val="auto"/>
          <w:sz w:val="32"/>
          <w:szCs w:val="32"/>
          <w:lang w:val="en-US" w:eastAsia="zh-CN"/>
        </w:rPr>
        <w:t>林业发展中心</w:t>
      </w:r>
      <w:r>
        <w:rPr>
          <w:rFonts w:hint="eastAsia" w:ascii="仿宋" w:hAnsi="仿宋" w:eastAsia="仿宋" w:cs="仿宋"/>
          <w:color w:val="auto"/>
          <w:sz w:val="32"/>
          <w:szCs w:val="32"/>
        </w:rPr>
        <w:t>要抽调人员，组建数据清理整合专班，基于同一平台、同一张底图，坚持尊重历史、实事求是的基本原则，充分利用已有工作成果和数据资料，采用内外业结合的工作方式，加快推进林权登记数据整合，将原林权登记数据逐宗落图，做到图、属、档信息一致。2025年底前基本完成原林权登记数据清理和整合，做好数据交接和建库。</w:t>
      </w:r>
    </w:p>
    <w:p w14:paraId="317DC480">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1.清理规范的重点内容。工作以数据整合为主线和抓手，重点围绕五个方面开展历史遗留问题清理。</w:t>
      </w:r>
    </w:p>
    <w:p w14:paraId="41723A6D">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登记信息问题：原林权档案资料不齐、内容缺失；林权登记权利类型、四至范围不够清晰、准确；数据信息不对应，图数不符（有数无图）、证地不符等问题。</w:t>
      </w:r>
    </w:p>
    <w:p w14:paraId="1E39B0C8">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权属重叠问题：同一宗地范围内，向不同权利主体颁发了多个林权证或者既颁发了林权证，又颁发了耕地的承包经营权证等“一地多证”问题。</w:t>
      </w:r>
    </w:p>
    <w:p w14:paraId="64E3A344">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地类冲突问题：分散登记时期，由于不同管理部门对地类认定不一致，退耕还林、土地开发整理等导致林权证发证范围内存在耕地、草地等地类，与实际现状不符。</w:t>
      </w:r>
    </w:p>
    <w:p w14:paraId="20199FF7">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确权程序问题：主要是没有按照林权登记时的程序要求规范开展指界、公告等工作，群众意见比较大，登记程序存在瑕疵。</w:t>
      </w:r>
    </w:p>
    <w:p w14:paraId="12F437F0">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已登未发证问题：原县林业局已经登簿，但因技术精度、工作进度等原因，尚未向权利人发放林权证，而权利人又向登记机构提出发证要求的。</w:t>
      </w:r>
    </w:p>
    <w:p w14:paraId="43B839A3">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2.数据整合的相关措施。对因技术、精度等原因造成的误差，能够通过数据清理、技术处理、核实修正等解决的，在数据整合时要立行立改；对于数据内容缺失、格式不符的，要结合原林权登记档案资料及时采集和补录；对存在权属重叠、地类冲突等政策性问题的，在不动产登记系统中做好标注，一时无法解决的，按照受理一宗、整合一宗、规范一宗的方式逐步解决。</w:t>
      </w:r>
    </w:p>
    <w:p w14:paraId="6A8D64E4">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二）清理规范历史遗留问题。在全面完成数据整合、排查梳理历史遗留问题的基础上，针对国有林场和集体林权登记不同类型，区分精度误差、登记错误、政策执行、程序瑕疵等不同情形，稳妥推进解决历史遗留问题。</w:t>
      </w:r>
    </w:p>
    <w:p w14:paraId="1B02D808">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1.聚焦突出问题。根据我县具体情况，重点围绕错证、图属档信息不一致、重复发证（“一地多证”）、联户发证未注明共有份额等林权登记历史遗留问题，按照“以点带面、先易后难、分步实施、分类推进”的思路，把握好工作节奏，有序有力推进工作，探索化解矛盾纠纷的方法路径，避免引发社会矛盾、大规模群体事件。</w:t>
      </w:r>
    </w:p>
    <w:p w14:paraId="2994D9D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2.边整合边规范。能够在资料整合中同步清理规范的问题，要立行立改；需要开展补充调查，或者存在权属重叠、地类冲突等政策性</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rPr>
        <w:t>问题，</w:t>
      </w:r>
      <w:r>
        <w:rPr>
          <w:rFonts w:hint="eastAsia" w:ascii="仿宋" w:hAnsi="仿宋" w:eastAsia="仿宋" w:cs="仿宋"/>
          <w:color w:val="auto"/>
          <w:sz w:val="32"/>
          <w:szCs w:val="32"/>
          <w:lang w:val="en-US" w:eastAsia="zh-CN"/>
        </w:rPr>
        <w:t>要</w:t>
      </w:r>
      <w:r>
        <w:rPr>
          <w:rFonts w:hint="eastAsia" w:ascii="仿宋" w:hAnsi="仿宋" w:eastAsia="仿宋" w:cs="仿宋"/>
          <w:color w:val="auto"/>
          <w:sz w:val="32"/>
          <w:szCs w:val="32"/>
        </w:rPr>
        <w:t>列出问题清单，逐一研究，积极探索处置政策、技术方法。</w:t>
      </w:r>
    </w:p>
    <w:p w14:paraId="5A42AA4E">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3.分类推进处置。关于国有</w:t>
      </w:r>
      <w:r>
        <w:rPr>
          <w:rFonts w:hint="eastAsia" w:ascii="仿宋" w:hAnsi="仿宋" w:eastAsia="仿宋" w:cs="仿宋"/>
          <w:color w:val="auto"/>
          <w:sz w:val="32"/>
          <w:szCs w:val="32"/>
          <w:lang w:val="en-US" w:eastAsia="zh-CN"/>
        </w:rPr>
        <w:t>林权</w:t>
      </w:r>
      <w:r>
        <w:rPr>
          <w:rFonts w:hint="eastAsia" w:ascii="仿宋" w:hAnsi="仿宋" w:eastAsia="仿宋" w:cs="仿宋"/>
          <w:color w:val="auto"/>
          <w:sz w:val="32"/>
          <w:szCs w:val="32"/>
        </w:rPr>
        <w:t>，要通过集中清理规范的方式，依据国有林场批准建场的审批文件，逐宗清理林权登记资料，全面梳理排查历史遗留问题。对涉及国有林场审批导致的登记问题，要认真调查核实，依法依规处理后，县不动产登记</w:t>
      </w:r>
      <w:r>
        <w:rPr>
          <w:rFonts w:hint="eastAsia" w:ascii="仿宋" w:hAnsi="仿宋" w:eastAsia="仿宋" w:cs="仿宋"/>
          <w:color w:val="auto"/>
          <w:sz w:val="32"/>
          <w:szCs w:val="32"/>
          <w:lang w:val="en-US" w:eastAsia="zh-CN"/>
        </w:rPr>
        <w:t>中心</w:t>
      </w:r>
      <w:r>
        <w:rPr>
          <w:rFonts w:hint="eastAsia" w:ascii="仿宋" w:hAnsi="仿宋" w:eastAsia="仿宋" w:cs="仿宋"/>
          <w:color w:val="auto"/>
          <w:sz w:val="32"/>
          <w:szCs w:val="32"/>
        </w:rPr>
        <w:t>据此完善林权登记成果。关于集体林权，可通过“办理一宗、规范一宗”的方式逐步解决集体林权登记历史遗留问题。</w:t>
      </w:r>
    </w:p>
    <w:p w14:paraId="72F02804">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4.建立工作制度。县自然资源局要会同县</w:t>
      </w:r>
      <w:r>
        <w:rPr>
          <w:rFonts w:hint="eastAsia" w:ascii="仿宋" w:hAnsi="仿宋" w:eastAsia="仿宋" w:cs="仿宋"/>
          <w:color w:val="auto"/>
          <w:sz w:val="32"/>
          <w:szCs w:val="32"/>
          <w:lang w:val="en-US" w:eastAsia="zh-CN"/>
        </w:rPr>
        <w:t>林业发展中心各负其责</w:t>
      </w:r>
      <w:r>
        <w:rPr>
          <w:rFonts w:hint="eastAsia" w:ascii="仿宋" w:hAnsi="仿宋" w:eastAsia="仿宋" w:cs="仿宋"/>
          <w:color w:val="auto"/>
          <w:sz w:val="32"/>
          <w:szCs w:val="32"/>
        </w:rPr>
        <w:t>，系统梳理登记环节和国有森林资源资产产权变动审批、集体林权承包和流转管理、林权合同纠纷调处等登记前置环节的关系，探索建立林权登记与林权改革、合同管理相互衔接的工作机制。对工作中发现的政策、技术等难点问题，共同协商解决。</w:t>
      </w:r>
    </w:p>
    <w:p w14:paraId="7D09287B">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（三）持续规范林权登记办理。县自然资源局、县</w:t>
      </w:r>
      <w:r>
        <w:rPr>
          <w:rFonts w:hint="eastAsia" w:ascii="仿宋" w:hAnsi="仿宋" w:eastAsia="仿宋" w:cs="仿宋"/>
          <w:color w:val="auto"/>
          <w:sz w:val="32"/>
          <w:szCs w:val="32"/>
          <w:lang w:val="en-US" w:eastAsia="zh-CN"/>
        </w:rPr>
        <w:t>林业发展中心</w:t>
      </w:r>
      <w:r>
        <w:rPr>
          <w:rFonts w:hint="eastAsia" w:ascii="仿宋" w:hAnsi="仿宋" w:eastAsia="仿宋" w:cs="仿宋"/>
          <w:color w:val="auto"/>
          <w:sz w:val="32"/>
          <w:szCs w:val="32"/>
        </w:rPr>
        <w:t>、各乡镇人民政府</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街道办事处</w:t>
      </w:r>
      <w:r>
        <w:rPr>
          <w:rFonts w:hint="eastAsia" w:ascii="仿宋" w:hAnsi="仿宋" w:eastAsia="仿宋" w:cs="仿宋"/>
          <w:color w:val="auto"/>
          <w:sz w:val="32"/>
          <w:szCs w:val="32"/>
        </w:rPr>
        <w:t>等相关部门要按照《自然资源部办公厅国家林业和草原局办公室关于进一步规范林权类不动产登记做好林权登记与林业管理衔接的通知》（自然资办发〔2020〕31号）、《自然资源部办公厅国家林业和草原局办公室关于印发〈清理规范林权确权登记历史遗留问题试点方案〉的通知》（自然资办函〔2021〕1221号）、《江西省自然资源厅江西省林业局关于进一步做好林权登记工作推动完善林权制度改革促进林业高质量发展的通知》（赣自然资规〔2020〕4号）和《江西省自然资源厅办公室 江西省林业局办公室 关于进一步强化业务协同加快推进林权登记资料移交数据整合和信息共享的通知》赣自然资办发〔2023〕26 号要求，全面履行职责，加强林权登记与林权改革、林权流转、森林资源管理等各环节的工作衔接，围绕数据整合、权籍调查、登记审核、数据共享、业务衔接等完善制度措施，着力解决林权登记不规范、不到位等问题，坚持不变不换和依申请办理，确保新增林权登记业务规范办理。</w:t>
      </w:r>
    </w:p>
    <w:p w14:paraId="07C6121F">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四）规范完善林权登记成果。根据林权类不动产统一登记和管理的要求，建设完善档案库房，并对林权档案进行信息化管理。研究优化登记流程，制定登记实施细则，规范登记簿填写、审核和校验，登簿信息要接入国家级不动产登记信息管理基础平台，提升登簿质量，及时汇交数据，公示办事指南，切实保证登记成果质量。</w:t>
      </w:r>
    </w:p>
    <w:p w14:paraId="45206D62">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五）推进林权登记与管理信息化。对现有不动产登记信息系统进行升级优化，保障日常登记、档案管理、信息查询、数据汇交的正常开展。建立信息共享机制，实现不动产登记信息管理基础平台与林权综合监管系统对接，通过搭建信息共享平台、数据交换接口、数据抄送等多种方式，推进林权合同管理、流转交易和登记信息实时互联互通，提升林权登记办理质量和效率。</w:t>
      </w:r>
    </w:p>
    <w:p w14:paraId="184397A5">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六）探索创新林权权籍调查方法。林权权籍调查以便民服务、规范高效为目标，采用信息化手段，开发移动端林权信息采集软件，集成林权信息表，以内业影像判读和外业实地勘验相结合的方式，提升调查成果质量，减轻外业工作量，降低调查成本。对原林权登记成果无法满足不动产登记条件，需要开展补充调查的，按照不动产登记的标准规范，充分利用已有登记成果开展调查，提高调查效率，降低调查成本。</w:t>
      </w:r>
    </w:p>
    <w:p w14:paraId="6D0CCAA1">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（七）创新林权登记服务举措。围绕减环节、减材料、减时间、减成本，积极推进林权类不动产登记“一窗受理、并行办理”。依托</w:t>
      </w:r>
      <w:r>
        <w:rPr>
          <w:rFonts w:hint="eastAsia" w:ascii="仿宋" w:hAnsi="仿宋" w:eastAsia="仿宋" w:cs="仿宋"/>
          <w:color w:val="auto"/>
          <w:sz w:val="32"/>
          <w:szCs w:val="32"/>
          <w:lang w:val="en-US" w:eastAsia="zh-CN"/>
        </w:rPr>
        <w:t>横峰县</w:t>
      </w:r>
      <w:r>
        <w:rPr>
          <w:rFonts w:hint="eastAsia" w:ascii="仿宋" w:hAnsi="仿宋" w:eastAsia="仿宋" w:cs="仿宋"/>
          <w:color w:val="auto"/>
          <w:sz w:val="32"/>
          <w:szCs w:val="32"/>
        </w:rPr>
        <w:t>不动产登记集成服务平台，积极推进林权抵押登记“不见面审批”模式，让数据多跑路，林农和经营主体少跑腿，便民利民惠民。</w:t>
      </w:r>
    </w:p>
    <w:p w14:paraId="79A6A5F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四</w:t>
      </w:r>
      <w:r>
        <w:rPr>
          <w:rFonts w:hint="eastAsia" w:ascii="黑体" w:hAnsi="黑体" w:eastAsia="黑体" w:cs="黑体"/>
          <w:color w:val="auto"/>
          <w:sz w:val="32"/>
          <w:szCs w:val="32"/>
        </w:rPr>
        <w:t>、技术路线与方法</w:t>
      </w:r>
    </w:p>
    <w:p w14:paraId="60B5BC14">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（一）技术路线</w:t>
      </w:r>
    </w:p>
    <w:p w14:paraId="599E4B64">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开展清理规范林权确权登记历史遗留问题工作，对已有的林权数据进行收集、分析、转换，形成统一标准的林权基础数据；对基础数据进行规范化整理、完善，套合1:10000地形图、正射影像图、生态红线图、原林权登记数据、农村土地承包经营权数据、第三次全国国土调查成果等，分析权属重叠、地类冲突等历史遗留问题的宗地，制作调查工作底图，开展外业补充调查及地籍测绘；进行调查成果质检、入库，建成林权登记数据库。对于问题、争议一时无法解决的宗地，在数据库中进行标识，日常登记时逐步解决。</w:t>
      </w:r>
    </w:p>
    <w:p w14:paraId="715C955D">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（二）技术方法</w:t>
      </w:r>
    </w:p>
    <w:p w14:paraId="4CCAFC21">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1.资料收集分析。按照林权数据整合建库及规范化整理的要求，收集自然资源、林业、农业农村等部门与林权确权登记数据整合、历史遗留问题处理相关的数据资料。</w:t>
      </w:r>
    </w:p>
    <w:p w14:paraId="271A4703">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2.数据整理分析。叠加1:10000地形图、正射影像图、生态红线图、原林权登记数据、农村土地承包经营权数据、第三次全国国土调查成果等对权属重叠、地类冲突、确权程序问题等重点历史遗留问题进行分析和内业整理。</w:t>
      </w:r>
    </w:p>
    <w:p w14:paraId="7A6B908F">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3.调查底图制作。以整理、分析、技术处理后的原林权登记数据、集体土地所有权登记数据、第三次全国国土调查成果和最新的遥感影像数据为基础，编制外业调查工作底图。</w:t>
      </w:r>
    </w:p>
    <w:p w14:paraId="1119102A">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4.外业调查。对存在林权调查登记数据不完整、信息缺漏、界址不清、权属纠纷等问题且内业无法准确判别的宗地，开展外业实地调查。</w:t>
      </w:r>
    </w:p>
    <w:p w14:paraId="0FD8D20E">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5.成果公示。对实地调查后界址、面积、位置、用途等发生变化的调查成果进行公示，以便发证。</w:t>
      </w:r>
    </w:p>
    <w:p w14:paraId="6A812879">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6.数据库建设。按照《不动产登记数据库标准（试行）》规定，建立林权登记数据库。</w:t>
      </w:r>
    </w:p>
    <w:p w14:paraId="667821C2">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7.整理归档。按照不动产登记档案整理要求，对不同类型的林权登记纸质档案和电子档案数据进行分类整理。</w:t>
      </w:r>
    </w:p>
    <w:p w14:paraId="632DCC8A">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8.信息化建设。升级不动产登记信息系统，研发林权信息共享系统，实现林权登记数据的共享、应用。</w:t>
      </w:r>
    </w:p>
    <w:p w14:paraId="29AC4CDF">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9.总结分析。编制总结报告、案例，汇编技术问答、政策文件等成果。</w:t>
      </w:r>
    </w:p>
    <w:p w14:paraId="7A97DE2A">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五、时间安排</w:t>
      </w:r>
    </w:p>
    <w:p w14:paraId="41BC9AEA">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（一）编制实施方案（2024.</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rPr>
        <w:t>-2024.</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）。编制</w:t>
      </w:r>
      <w:r>
        <w:rPr>
          <w:rFonts w:hint="eastAsia" w:ascii="仿宋" w:hAnsi="仿宋" w:eastAsia="仿宋" w:cs="仿宋"/>
          <w:color w:val="auto"/>
          <w:sz w:val="32"/>
          <w:szCs w:val="32"/>
          <w:lang w:val="en-US" w:eastAsia="zh-CN"/>
        </w:rPr>
        <w:t>横峰县</w:t>
      </w:r>
      <w:r>
        <w:rPr>
          <w:rFonts w:hint="eastAsia" w:ascii="仿宋" w:hAnsi="仿宋" w:eastAsia="仿宋" w:cs="仿宋"/>
          <w:color w:val="auto"/>
          <w:sz w:val="32"/>
          <w:szCs w:val="32"/>
        </w:rPr>
        <w:t>清理规范林权确权登记历史遗留问题工作实施方案，部署开展</w:t>
      </w:r>
      <w:r>
        <w:rPr>
          <w:rFonts w:hint="eastAsia" w:ascii="仿宋" w:hAnsi="仿宋" w:eastAsia="仿宋" w:cs="仿宋"/>
          <w:color w:val="auto"/>
          <w:sz w:val="32"/>
          <w:szCs w:val="32"/>
          <w:lang w:val="en-US" w:eastAsia="zh-CN"/>
        </w:rPr>
        <w:t>横峰</w:t>
      </w:r>
      <w:r>
        <w:rPr>
          <w:rFonts w:hint="eastAsia" w:ascii="仿宋" w:hAnsi="仿宋" w:eastAsia="仿宋" w:cs="仿宋"/>
          <w:color w:val="auto"/>
          <w:sz w:val="32"/>
          <w:szCs w:val="32"/>
        </w:rPr>
        <w:t>县清理规范林权确权登记历史遗留问题工作。抽调县自然资源局、县</w:t>
      </w:r>
      <w:r>
        <w:rPr>
          <w:rFonts w:hint="eastAsia" w:ascii="仿宋" w:hAnsi="仿宋" w:eastAsia="仿宋" w:cs="仿宋"/>
          <w:color w:val="auto"/>
          <w:sz w:val="32"/>
          <w:szCs w:val="32"/>
          <w:lang w:val="en-US" w:eastAsia="zh-CN"/>
        </w:rPr>
        <w:t>林业发展中心</w:t>
      </w:r>
      <w:r>
        <w:rPr>
          <w:rFonts w:hint="eastAsia" w:ascii="仿宋" w:hAnsi="仿宋" w:eastAsia="仿宋" w:cs="仿宋"/>
          <w:color w:val="auto"/>
          <w:sz w:val="32"/>
          <w:szCs w:val="32"/>
        </w:rPr>
        <w:t>、县农业农村局等部门精干技术力量组成工作专班。</w:t>
      </w:r>
    </w:p>
    <w:p w14:paraId="66C7C6FE">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（二）筹划清理规范（2024.</w:t>
      </w:r>
      <w:r>
        <w:rPr>
          <w:rFonts w:hint="eastAsia" w:ascii="仿宋" w:hAnsi="仿宋" w:eastAsia="仿宋" w:cs="仿宋"/>
          <w:color w:val="auto"/>
          <w:sz w:val="32"/>
          <w:szCs w:val="32"/>
          <w:lang w:val="en-US" w:eastAsia="zh-CN"/>
        </w:rPr>
        <w:t>11</w:t>
      </w:r>
      <w:r>
        <w:rPr>
          <w:rFonts w:hint="eastAsia" w:ascii="仿宋" w:hAnsi="仿宋" w:eastAsia="仿宋" w:cs="仿宋"/>
          <w:color w:val="auto"/>
          <w:sz w:val="32"/>
          <w:szCs w:val="32"/>
        </w:rPr>
        <w:t>-2024.1</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）。各相关部门配合县自然资源局做好前期准备工作，编制工作经费预算，确定技术支撑单位，编制技术方案，推动工作规范有序开展。</w:t>
      </w:r>
    </w:p>
    <w:p w14:paraId="3B980B2D">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1.完成项目招投标。根据工作内容，由县自然资源局通过招投标方式确定技术支撑协作单位。</w:t>
      </w:r>
    </w:p>
    <w:p w14:paraId="69234AF2">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2.制定技术实施方案。根据相关法律规定，制定工作技术方案，报市自然资源局、市林业局。</w:t>
      </w:r>
    </w:p>
    <w:p w14:paraId="3C3F5EC9">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3.档案资料整理移交。完成林权登记档案整理和移交，扫描林权登记档案，进行矢量化处理。</w:t>
      </w:r>
    </w:p>
    <w:p w14:paraId="278A243D">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4.完成资料收集与分析。收集原林权登记相关的林权流转、评估、勘验、权属调查等资料，并进行分析。</w:t>
      </w:r>
    </w:p>
    <w:p w14:paraId="329916DB">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（三）数据整合入库（2024.11-2024.12）。通过自查梳理、重点排查等方式，摸清问题，找准症结。从数据整合入手，全面完成原林权证数据清理整合。</w:t>
      </w:r>
    </w:p>
    <w:p w14:paraId="25378B5B">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1.开展数据清理整合和关联落宗。对林权数据进行清理，清除无效、重复数据，关联图形数据和属性数据，采集并完善缺失、错误的数据，整合林权、林地登记数据。</w:t>
      </w:r>
    </w:p>
    <w:p w14:paraId="3FFB6A7E">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2.完成数据质检、成果入库。建立图形、属性、档案</w:t>
      </w:r>
    </w:p>
    <w:p w14:paraId="6FBD8F31">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相互关联的不动产登记中间数据库，经验收合格后导入到不动产登记数据库。</w:t>
      </w:r>
    </w:p>
    <w:p w14:paraId="0C0E34FC">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3.完成不动产登记系统升级改造。对现有的不动产登记信息系统和权籍调查成果管理系统进行升级优化。</w:t>
      </w:r>
    </w:p>
    <w:p w14:paraId="580AD7F8">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（四）推进信息化建设（2025.1-2025.6）。加快实现林权信息化管理，注意梳理矛盾尖锐的突出问题，探索清理规范历史遗留问题的解决途径，完善林权登记成果。</w:t>
      </w:r>
    </w:p>
    <w:p w14:paraId="3010A67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1.完成林权信息共享系统开发。开展林权信息共享系统试运行，并对系统进行修改完善。</w:t>
      </w:r>
    </w:p>
    <w:p w14:paraId="20A501B1">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2.完成移动端林权信息采集软件开发。开发移动端林权信息采集软件，探索创新林权权籍调查方法。</w:t>
      </w:r>
    </w:p>
    <w:p w14:paraId="548FAAA8">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3.规范完善林权登记成果。对林权登记成果进行信息化管理，通过“申请一宗、办理一宗、规范一宗”的方式，逐步满足日常林权类不动产统一登记和管理的需要。</w:t>
      </w:r>
    </w:p>
    <w:p w14:paraId="767AA108">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（五）总结经验（2025.7-2025.12）全面总结工作经验和需要完善的意见建议，认真总结、分类提出解决林权确权登记历史遗留问题的政策建议和方法路径，经市自然资源局和市林业局审查同意后，向省自然资源</w:t>
      </w:r>
      <w:r>
        <w:rPr>
          <w:rFonts w:hint="eastAsia" w:ascii="仿宋" w:hAnsi="仿宋" w:eastAsia="仿宋" w:cs="仿宋"/>
          <w:color w:val="auto"/>
          <w:sz w:val="32"/>
          <w:szCs w:val="32"/>
          <w:lang w:val="en-US" w:eastAsia="zh-CN"/>
        </w:rPr>
        <w:t>厅</w:t>
      </w:r>
      <w:r>
        <w:rPr>
          <w:rFonts w:hint="eastAsia" w:ascii="仿宋" w:hAnsi="仿宋" w:eastAsia="仿宋" w:cs="仿宋"/>
          <w:color w:val="auto"/>
          <w:sz w:val="32"/>
          <w:szCs w:val="32"/>
        </w:rPr>
        <w:t>和省林业局提交报告。</w:t>
      </w:r>
    </w:p>
    <w:p w14:paraId="5399B863">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六、保障措施</w:t>
      </w:r>
    </w:p>
    <w:p w14:paraId="4133A7F4">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（一）加强组织领导。建立政府主导、县自然资源局牵头</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县</w:t>
      </w:r>
      <w:r>
        <w:rPr>
          <w:rFonts w:hint="eastAsia" w:ascii="仿宋" w:hAnsi="仿宋" w:eastAsia="仿宋" w:cs="仿宋"/>
          <w:color w:val="auto"/>
          <w:sz w:val="32"/>
          <w:szCs w:val="32"/>
          <w:lang w:val="en-US" w:eastAsia="zh-CN"/>
        </w:rPr>
        <w:t>林业发展中心</w:t>
      </w:r>
      <w:r>
        <w:rPr>
          <w:rFonts w:hint="eastAsia" w:ascii="仿宋" w:hAnsi="仿宋" w:eastAsia="仿宋" w:cs="仿宋"/>
          <w:color w:val="auto"/>
          <w:sz w:val="32"/>
          <w:szCs w:val="32"/>
        </w:rPr>
        <w:t>和相关部门参与、各司其职的工作机制。各乡镇（街道）、村组要切实落实属地责任，发挥主观能动性，强化责任担当。成立由乡镇（街道）人民政府主要领导任组长的清理规范林权确权登记历史遗留问题工作领导小组，县自然资源局、县</w:t>
      </w:r>
      <w:r>
        <w:rPr>
          <w:rFonts w:hint="eastAsia" w:ascii="仿宋" w:hAnsi="仿宋" w:eastAsia="仿宋" w:cs="仿宋"/>
          <w:color w:val="auto"/>
          <w:sz w:val="32"/>
          <w:szCs w:val="32"/>
          <w:lang w:val="en-US" w:eastAsia="zh-CN"/>
        </w:rPr>
        <w:t>林业发展中心</w:t>
      </w:r>
      <w:r>
        <w:rPr>
          <w:rFonts w:hint="eastAsia" w:ascii="仿宋" w:hAnsi="仿宋" w:eastAsia="仿宋" w:cs="仿宋"/>
          <w:color w:val="auto"/>
          <w:sz w:val="32"/>
          <w:szCs w:val="32"/>
        </w:rPr>
        <w:t>要抽调业务骨干，成立工作专班。建立健全制度机制，明确目标任务，细化责任分工，倒排工作进度，坚持一事一策，确保各项任务能够有序、有力推进。</w:t>
      </w:r>
    </w:p>
    <w:p w14:paraId="558A5BF2">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（二）强化统筹配合。工作领导小组要定期召开工作会议，及时了解掌握工作开展情况，解决工作中存在的问题，加强指导和监督。县自然资源局、县</w:t>
      </w:r>
      <w:r>
        <w:rPr>
          <w:rFonts w:hint="eastAsia" w:ascii="仿宋" w:hAnsi="仿宋" w:eastAsia="仿宋" w:cs="仿宋"/>
          <w:color w:val="auto"/>
          <w:sz w:val="32"/>
          <w:szCs w:val="32"/>
          <w:lang w:val="en-US" w:eastAsia="zh-CN"/>
        </w:rPr>
        <w:t>林业发展中心</w:t>
      </w:r>
      <w:r>
        <w:rPr>
          <w:rFonts w:hint="eastAsia" w:ascii="仿宋" w:hAnsi="仿宋" w:eastAsia="仿宋" w:cs="仿宋"/>
          <w:color w:val="auto"/>
          <w:sz w:val="32"/>
          <w:szCs w:val="32"/>
        </w:rPr>
        <w:t>等相关部门要密切配合、形成合力，做好林权权籍调查、界线核实、权属争议调处等相关工作。实施过程中，发现的重要问题应及时向</w:t>
      </w:r>
      <w:bookmarkStart w:id="0" w:name="_GoBack"/>
      <w:r>
        <w:rPr>
          <w:rFonts w:hint="eastAsia" w:ascii="仿宋" w:hAnsi="仿宋" w:eastAsia="仿宋" w:cs="仿宋"/>
          <w:color w:val="auto"/>
          <w:sz w:val="32"/>
          <w:szCs w:val="32"/>
        </w:rPr>
        <w:t>省自然资源</w:t>
      </w:r>
      <w:bookmarkEnd w:id="0"/>
      <w:r>
        <w:rPr>
          <w:rFonts w:hint="eastAsia" w:ascii="仿宋" w:hAnsi="仿宋" w:eastAsia="仿宋" w:cs="仿宋"/>
          <w:color w:val="auto"/>
          <w:sz w:val="32"/>
          <w:szCs w:val="32"/>
        </w:rPr>
        <w:t>厅、省林业局、市自然资源局、市林业局请示汇报。</w:t>
      </w:r>
    </w:p>
    <w:p w14:paraId="2ADD4FE7">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三）保障经费落实。根据财政事权和支出责任对等的原则，清理规范林权确权登记历史遗留问题工作经费纳入地方政府年度财政预算。县财政局要做好工作经费预算安排，确保专款专用，保障经费足额落实到位，日常开展的林权登记权籍调查工作有关经费以政府购买服务方式列入每年财政预算。</w:t>
      </w:r>
    </w:p>
    <w:p w14:paraId="0EB19A01">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四）做好宣传培训。通过报纸、电视、网络等途径，宣传清理规范林权确权登记历史遗留问题工作成效和特色亮点。定期组织开展经验和问题总结，加强与其他地区的经验交流。密切关注舆情动态，建立应急机制，及时回应社会关切，重大问题及时报告。加大业务培训力度，提升登记人员业务水平，加强林权登记专业人才队伍建设，为扎实做好深化集体林权制度改革先行工作提供人才支撑，更好地服务全县经济社会全面绿色发展大局。</w:t>
      </w:r>
    </w:p>
    <w:p w14:paraId="202B978F">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横峰县</w:t>
      </w:r>
      <w:r>
        <w:rPr>
          <w:rFonts w:hint="eastAsia" w:ascii="仿宋" w:hAnsi="仿宋" w:eastAsia="仿宋" w:cs="仿宋"/>
          <w:color w:val="auto"/>
          <w:sz w:val="32"/>
          <w:szCs w:val="32"/>
        </w:rPr>
        <w:t>清理规范林权确权登记历史遗留问题工作小组</w:t>
      </w:r>
    </w:p>
    <w:p w14:paraId="04B540C1">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2"/>
          <w:szCs w:val="32"/>
        </w:rPr>
      </w:pPr>
    </w:p>
    <w:p w14:paraId="3F978D02">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color w:val="auto"/>
          <w:sz w:val="44"/>
          <w:szCs w:val="44"/>
        </w:rPr>
      </w:pPr>
    </w:p>
    <w:p w14:paraId="62B38C9F">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color w:val="auto"/>
          <w:sz w:val="44"/>
          <w:szCs w:val="44"/>
        </w:rPr>
      </w:pPr>
    </w:p>
    <w:p w14:paraId="284FD624">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color w:val="auto"/>
          <w:sz w:val="44"/>
          <w:szCs w:val="44"/>
        </w:rPr>
      </w:pPr>
    </w:p>
    <w:p w14:paraId="049D9133">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color w:val="auto"/>
          <w:sz w:val="44"/>
          <w:szCs w:val="44"/>
        </w:rPr>
      </w:pPr>
    </w:p>
    <w:p w14:paraId="17F0EDB2">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color w:val="auto"/>
          <w:sz w:val="44"/>
          <w:szCs w:val="44"/>
        </w:rPr>
      </w:pPr>
    </w:p>
    <w:p w14:paraId="39FBBCB1">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color w:val="auto"/>
          <w:sz w:val="44"/>
          <w:szCs w:val="44"/>
        </w:rPr>
      </w:pPr>
      <w:r>
        <w:rPr>
          <w:rFonts w:hint="eastAsia" w:ascii="宋体" w:hAnsi="宋体" w:eastAsia="宋体" w:cs="宋体"/>
          <w:color w:val="auto"/>
          <w:sz w:val="44"/>
          <w:szCs w:val="44"/>
          <w:lang w:val="en-US" w:eastAsia="zh-CN"/>
        </w:rPr>
        <w:t>横峰</w:t>
      </w:r>
      <w:r>
        <w:rPr>
          <w:rFonts w:hint="eastAsia" w:ascii="宋体" w:hAnsi="宋体" w:eastAsia="宋体" w:cs="宋体"/>
          <w:color w:val="auto"/>
          <w:sz w:val="44"/>
          <w:szCs w:val="44"/>
        </w:rPr>
        <w:t>县清理规范林权确权登记历史</w:t>
      </w:r>
    </w:p>
    <w:p w14:paraId="6051A9D6">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宋体" w:hAnsi="宋体" w:eastAsia="宋体" w:cs="宋体"/>
          <w:color w:val="auto"/>
          <w:sz w:val="44"/>
          <w:szCs w:val="44"/>
          <w:lang w:eastAsia="zh-CN"/>
        </w:rPr>
      </w:pPr>
      <w:r>
        <w:rPr>
          <w:rFonts w:hint="eastAsia" w:ascii="宋体" w:hAnsi="宋体" w:eastAsia="宋体" w:cs="宋体"/>
          <w:color w:val="auto"/>
          <w:sz w:val="44"/>
          <w:szCs w:val="44"/>
        </w:rPr>
        <w:t>遗留问题工作</w:t>
      </w:r>
      <w:r>
        <w:rPr>
          <w:rFonts w:hint="eastAsia" w:ascii="宋体" w:hAnsi="宋体" w:eastAsia="宋体" w:cs="宋体"/>
          <w:color w:val="auto"/>
          <w:sz w:val="44"/>
          <w:szCs w:val="44"/>
          <w:lang w:val="en-US" w:eastAsia="zh-CN"/>
        </w:rPr>
        <w:t>专班</w:t>
      </w:r>
    </w:p>
    <w:p w14:paraId="567B3091">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2"/>
          <w:szCs w:val="32"/>
        </w:rPr>
      </w:pPr>
    </w:p>
    <w:p w14:paraId="2CAFFC2A">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2"/>
          <w:szCs w:val="32"/>
        </w:rPr>
      </w:pPr>
    </w:p>
    <w:p w14:paraId="46EFA82F">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为认真做好清理规范林权确权登记历史遗留问题工作，决定成立</w:t>
      </w:r>
      <w:r>
        <w:rPr>
          <w:rFonts w:hint="eastAsia" w:ascii="仿宋" w:hAnsi="仿宋" w:eastAsia="仿宋" w:cs="仿宋"/>
          <w:color w:val="auto"/>
          <w:sz w:val="32"/>
          <w:szCs w:val="32"/>
          <w:lang w:val="en-US" w:eastAsia="zh-CN"/>
        </w:rPr>
        <w:t>横峰</w:t>
      </w:r>
      <w:r>
        <w:rPr>
          <w:rFonts w:hint="eastAsia" w:ascii="仿宋" w:hAnsi="仿宋" w:eastAsia="仿宋" w:cs="仿宋"/>
          <w:color w:val="auto"/>
          <w:sz w:val="32"/>
          <w:szCs w:val="32"/>
        </w:rPr>
        <w:t>县清理规范林权确权登记历史遗留问题工作</w:t>
      </w:r>
      <w:r>
        <w:rPr>
          <w:rFonts w:hint="eastAsia" w:ascii="仿宋" w:hAnsi="仿宋" w:eastAsia="仿宋" w:cs="仿宋"/>
          <w:color w:val="auto"/>
          <w:sz w:val="32"/>
          <w:szCs w:val="32"/>
          <w:lang w:val="en-US" w:eastAsia="zh-CN"/>
        </w:rPr>
        <w:t>专班</w:t>
      </w:r>
      <w:r>
        <w:rPr>
          <w:rFonts w:hint="eastAsia" w:ascii="仿宋" w:hAnsi="仿宋" w:eastAsia="仿宋" w:cs="仿宋"/>
          <w:color w:val="auto"/>
          <w:sz w:val="32"/>
          <w:szCs w:val="32"/>
        </w:rPr>
        <w:t>，组成人员如下：</w:t>
      </w:r>
    </w:p>
    <w:p w14:paraId="2EE9405C">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组  长：</w:t>
      </w:r>
      <w:r>
        <w:rPr>
          <w:rFonts w:hint="eastAsia" w:ascii="仿宋" w:hAnsi="仿宋" w:eastAsia="仿宋" w:cs="仿宋"/>
          <w:color w:val="auto"/>
          <w:sz w:val="32"/>
          <w:szCs w:val="32"/>
          <w:lang w:val="en-US" w:eastAsia="zh-CN"/>
        </w:rPr>
        <w:t xml:space="preserve">      徐  炯 分管</w:t>
      </w:r>
      <w:r>
        <w:rPr>
          <w:rFonts w:hint="eastAsia" w:ascii="仿宋" w:hAnsi="仿宋" w:eastAsia="仿宋" w:cs="仿宋"/>
          <w:color w:val="auto"/>
          <w:sz w:val="32"/>
          <w:szCs w:val="32"/>
        </w:rPr>
        <w:t>副县长</w:t>
      </w:r>
      <w:r>
        <w:rPr>
          <w:rFonts w:hint="eastAsia" w:ascii="仿宋" w:hAnsi="仿宋" w:eastAsia="仿宋" w:cs="仿宋"/>
          <w:color w:val="auto"/>
          <w:sz w:val="32"/>
          <w:szCs w:val="32"/>
          <w:lang w:val="en-US" w:eastAsia="zh-CN"/>
        </w:rPr>
        <w:t xml:space="preserve"> </w:t>
      </w:r>
    </w:p>
    <w:p w14:paraId="3E99327D">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副组长：</w:t>
      </w:r>
      <w:r>
        <w:rPr>
          <w:rFonts w:hint="eastAsia" w:ascii="仿宋" w:hAnsi="仿宋" w:eastAsia="仿宋" w:cs="仿宋"/>
          <w:color w:val="auto"/>
          <w:sz w:val="32"/>
          <w:szCs w:val="32"/>
          <w:lang w:val="en-US" w:eastAsia="zh-CN"/>
        </w:rPr>
        <w:t xml:space="preserve">      李贤军 </w:t>
      </w:r>
      <w:r>
        <w:rPr>
          <w:rFonts w:hint="eastAsia" w:ascii="仿宋" w:hAnsi="仿宋" w:eastAsia="仿宋" w:cs="仿宋"/>
          <w:color w:val="auto"/>
          <w:sz w:val="32"/>
          <w:szCs w:val="32"/>
        </w:rPr>
        <w:t>县自然资源局局长</w:t>
      </w:r>
      <w:r>
        <w:rPr>
          <w:rFonts w:hint="eastAsia" w:ascii="仿宋" w:hAnsi="仿宋" w:eastAsia="仿宋" w:cs="仿宋"/>
          <w:color w:val="auto"/>
          <w:sz w:val="32"/>
          <w:szCs w:val="32"/>
          <w:lang w:val="en-US" w:eastAsia="zh-CN"/>
        </w:rPr>
        <w:t xml:space="preserve"> </w:t>
      </w:r>
    </w:p>
    <w:p w14:paraId="45D376CA">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余志钢 </w:t>
      </w:r>
      <w:r>
        <w:rPr>
          <w:rFonts w:hint="eastAsia" w:ascii="仿宋" w:hAnsi="仿宋" w:eastAsia="仿宋" w:cs="仿宋"/>
          <w:color w:val="auto"/>
          <w:sz w:val="32"/>
          <w:szCs w:val="32"/>
        </w:rPr>
        <w:t>县林业</w:t>
      </w:r>
      <w:r>
        <w:rPr>
          <w:rFonts w:hint="eastAsia" w:ascii="仿宋" w:hAnsi="仿宋" w:eastAsia="仿宋" w:cs="仿宋"/>
          <w:color w:val="auto"/>
          <w:sz w:val="32"/>
          <w:szCs w:val="32"/>
          <w:lang w:val="en-US" w:eastAsia="zh-CN"/>
        </w:rPr>
        <w:t>发展中心主任</w:t>
      </w:r>
    </w:p>
    <w:p w14:paraId="5D7391FD">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成  员</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 xml:space="preserve">      刘  艳 </w:t>
      </w:r>
      <w:r>
        <w:rPr>
          <w:rFonts w:hint="eastAsia" w:ascii="仿宋" w:hAnsi="仿宋" w:eastAsia="仿宋" w:cs="仿宋"/>
          <w:color w:val="auto"/>
          <w:sz w:val="32"/>
          <w:szCs w:val="32"/>
        </w:rPr>
        <w:t>县财政局</w:t>
      </w:r>
      <w:r>
        <w:rPr>
          <w:rFonts w:hint="eastAsia" w:ascii="仿宋" w:hAnsi="仿宋" w:eastAsia="仿宋" w:cs="仿宋"/>
          <w:color w:val="auto"/>
          <w:sz w:val="32"/>
          <w:szCs w:val="32"/>
          <w:lang w:val="en-US" w:eastAsia="zh-CN"/>
        </w:rPr>
        <w:t>副</w:t>
      </w:r>
      <w:r>
        <w:rPr>
          <w:rFonts w:hint="eastAsia" w:ascii="仿宋" w:hAnsi="仿宋" w:eastAsia="仿宋" w:cs="仿宋"/>
          <w:color w:val="auto"/>
          <w:sz w:val="32"/>
          <w:szCs w:val="32"/>
        </w:rPr>
        <w:t>局长</w:t>
      </w:r>
    </w:p>
    <w:p w14:paraId="12C4C6FD">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滕学龙 </w:t>
      </w:r>
      <w:r>
        <w:rPr>
          <w:rFonts w:hint="eastAsia" w:ascii="仿宋" w:hAnsi="仿宋" w:eastAsia="仿宋" w:cs="仿宋"/>
          <w:color w:val="auto"/>
          <w:sz w:val="32"/>
          <w:szCs w:val="32"/>
        </w:rPr>
        <w:t>县农业农村局</w:t>
      </w:r>
      <w:r>
        <w:rPr>
          <w:rFonts w:hint="eastAsia" w:ascii="仿宋" w:hAnsi="仿宋" w:eastAsia="仿宋" w:cs="仿宋"/>
          <w:color w:val="auto"/>
          <w:sz w:val="32"/>
          <w:szCs w:val="32"/>
          <w:lang w:val="en-US" w:eastAsia="zh-CN"/>
        </w:rPr>
        <w:t>副</w:t>
      </w:r>
      <w:r>
        <w:rPr>
          <w:rFonts w:hint="eastAsia" w:ascii="仿宋" w:hAnsi="仿宋" w:eastAsia="仿宋" w:cs="仿宋"/>
          <w:color w:val="auto"/>
          <w:sz w:val="32"/>
          <w:szCs w:val="32"/>
        </w:rPr>
        <w:t>局长</w:t>
      </w:r>
    </w:p>
    <w:p w14:paraId="12C32028">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钟伸勇 县公安局森林分局局长</w:t>
      </w:r>
    </w:p>
    <w:p w14:paraId="079D4860">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徐火明 </w:t>
      </w:r>
      <w:r>
        <w:rPr>
          <w:rFonts w:hint="eastAsia" w:ascii="仿宋" w:hAnsi="仿宋" w:eastAsia="仿宋" w:cs="仿宋"/>
          <w:color w:val="auto"/>
          <w:sz w:val="32"/>
          <w:szCs w:val="32"/>
        </w:rPr>
        <w:t>县司法局</w:t>
      </w:r>
      <w:r>
        <w:rPr>
          <w:rFonts w:hint="eastAsia" w:ascii="仿宋" w:hAnsi="仿宋" w:eastAsia="仿宋" w:cs="仿宋"/>
          <w:color w:val="auto"/>
          <w:sz w:val="32"/>
          <w:szCs w:val="32"/>
          <w:lang w:val="en-US" w:eastAsia="zh-CN"/>
        </w:rPr>
        <w:t>副</w:t>
      </w:r>
      <w:r>
        <w:rPr>
          <w:rFonts w:hint="eastAsia" w:ascii="仿宋" w:hAnsi="仿宋" w:eastAsia="仿宋" w:cs="仿宋"/>
          <w:color w:val="auto"/>
          <w:sz w:val="32"/>
          <w:szCs w:val="32"/>
        </w:rPr>
        <w:t>局长</w:t>
      </w:r>
    </w:p>
    <w:p w14:paraId="5667C59C">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徐水生 县委</w:t>
      </w:r>
      <w:r>
        <w:rPr>
          <w:rFonts w:hint="eastAsia" w:ascii="仿宋" w:hAnsi="仿宋" w:eastAsia="仿宋" w:cs="仿宋"/>
          <w:color w:val="auto"/>
          <w:sz w:val="32"/>
          <w:szCs w:val="32"/>
        </w:rPr>
        <w:t>县信访局</w:t>
      </w:r>
      <w:r>
        <w:rPr>
          <w:rFonts w:hint="eastAsia" w:ascii="仿宋" w:hAnsi="仿宋" w:eastAsia="仿宋" w:cs="仿宋"/>
          <w:color w:val="auto"/>
          <w:sz w:val="32"/>
          <w:szCs w:val="32"/>
          <w:lang w:val="en-US" w:eastAsia="zh-CN"/>
        </w:rPr>
        <w:t>副</w:t>
      </w:r>
      <w:r>
        <w:rPr>
          <w:rFonts w:hint="eastAsia" w:ascii="仿宋" w:hAnsi="仿宋" w:eastAsia="仿宋" w:cs="仿宋"/>
          <w:color w:val="auto"/>
          <w:sz w:val="32"/>
          <w:szCs w:val="32"/>
        </w:rPr>
        <w:t>局长</w:t>
      </w:r>
    </w:p>
    <w:p w14:paraId="68274E11">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林奇韬 </w:t>
      </w:r>
      <w:r>
        <w:rPr>
          <w:rFonts w:hint="eastAsia" w:ascii="仿宋" w:hAnsi="仿宋" w:eastAsia="仿宋" w:cs="仿宋"/>
          <w:color w:val="auto"/>
          <w:sz w:val="32"/>
          <w:szCs w:val="32"/>
        </w:rPr>
        <w:t>县水利局</w:t>
      </w:r>
      <w:r>
        <w:rPr>
          <w:rFonts w:hint="eastAsia" w:ascii="仿宋" w:hAnsi="仿宋" w:eastAsia="仿宋" w:cs="仿宋"/>
          <w:color w:val="auto"/>
          <w:sz w:val="32"/>
          <w:szCs w:val="32"/>
          <w:lang w:val="en-US" w:eastAsia="zh-CN"/>
        </w:rPr>
        <w:t>副</w:t>
      </w:r>
      <w:r>
        <w:rPr>
          <w:rFonts w:hint="eastAsia" w:ascii="仿宋" w:hAnsi="仿宋" w:eastAsia="仿宋" w:cs="仿宋"/>
          <w:color w:val="auto"/>
          <w:sz w:val="32"/>
          <w:szCs w:val="32"/>
        </w:rPr>
        <w:t>局长</w:t>
      </w:r>
    </w:p>
    <w:p w14:paraId="10B152BB">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张晓勇 县自然资源局副局长</w:t>
      </w:r>
    </w:p>
    <w:p w14:paraId="0D0A0F54">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骆  翔 县林业发展中心副主任</w:t>
      </w:r>
    </w:p>
    <w:p w14:paraId="1C4C27FA">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rPr>
      </w:pPr>
      <w:r>
        <w:rPr>
          <w:rFonts w:hint="eastAsia" w:ascii="仿宋" w:hAnsi="仿宋" w:eastAsia="仿宋" w:cs="仿宋"/>
          <w:color w:val="auto"/>
          <w:sz w:val="32"/>
          <w:szCs w:val="32"/>
          <w:lang w:val="en-US" w:eastAsia="zh-CN"/>
        </w:rPr>
        <w:t>周云兰 兴安街道办便民服务中心主任</w:t>
      </w:r>
    </w:p>
    <w:p w14:paraId="0A9F91B5">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徐恩会</w:t>
      </w:r>
      <w:r>
        <w:rPr>
          <w:rFonts w:hint="eastAsia" w:ascii="仿宋" w:hAnsi="仿宋" w:eastAsia="仿宋" w:cs="仿宋"/>
          <w:color w:val="auto"/>
          <w:sz w:val="32"/>
          <w:szCs w:val="32"/>
          <w:lang w:val="en-US" w:eastAsia="zh-CN"/>
        </w:rPr>
        <w:t xml:space="preserve"> 岑阳</w:t>
      </w:r>
      <w:r>
        <w:rPr>
          <w:rFonts w:hint="eastAsia" w:ascii="仿宋" w:hAnsi="仿宋" w:eastAsia="仿宋" w:cs="仿宋"/>
          <w:color w:val="auto"/>
          <w:sz w:val="32"/>
          <w:szCs w:val="32"/>
        </w:rPr>
        <w:t>镇</w:t>
      </w:r>
      <w:r>
        <w:rPr>
          <w:rFonts w:hint="eastAsia" w:ascii="仿宋" w:hAnsi="仿宋" w:eastAsia="仿宋" w:cs="仿宋"/>
          <w:color w:val="auto"/>
          <w:sz w:val="32"/>
          <w:szCs w:val="32"/>
          <w:lang w:val="en-US" w:eastAsia="zh-CN"/>
        </w:rPr>
        <w:t>常务副镇长</w:t>
      </w:r>
    </w:p>
    <w:p w14:paraId="745A651F">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李海平</w:t>
      </w:r>
      <w:r>
        <w:rPr>
          <w:rFonts w:hint="eastAsia" w:ascii="仿宋" w:hAnsi="仿宋" w:eastAsia="仿宋" w:cs="仿宋"/>
          <w:color w:val="auto"/>
          <w:sz w:val="32"/>
          <w:szCs w:val="32"/>
          <w:lang w:val="en-US" w:eastAsia="zh-CN"/>
        </w:rPr>
        <w:t xml:space="preserve"> 葛源镇人大副主席</w:t>
      </w:r>
    </w:p>
    <w:p w14:paraId="544D8B6E">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陈俞志远</w:t>
      </w:r>
      <w:r>
        <w:rPr>
          <w:rFonts w:hint="eastAsia" w:ascii="仿宋" w:hAnsi="仿宋" w:eastAsia="仿宋" w:cs="仿宋"/>
          <w:color w:val="auto"/>
          <w:sz w:val="32"/>
          <w:szCs w:val="32"/>
          <w:lang w:val="en-US" w:eastAsia="zh-CN"/>
        </w:rPr>
        <w:t xml:space="preserve"> 莲荷乡副主任科员</w:t>
      </w:r>
    </w:p>
    <w:p w14:paraId="484F43D6">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李  飞</w:t>
      </w:r>
      <w:r>
        <w:rPr>
          <w:rFonts w:hint="eastAsia" w:ascii="仿宋" w:hAnsi="仿宋" w:eastAsia="仿宋" w:cs="仿宋"/>
          <w:color w:val="auto"/>
          <w:sz w:val="32"/>
          <w:szCs w:val="32"/>
          <w:lang w:val="en-US" w:eastAsia="zh-CN"/>
        </w:rPr>
        <w:t xml:space="preserve"> 龙门畈乡武装部部长</w:t>
      </w:r>
    </w:p>
    <w:p w14:paraId="6BF9F065">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张照林</w:t>
      </w:r>
      <w:r>
        <w:rPr>
          <w:rFonts w:hint="eastAsia" w:ascii="仿宋" w:hAnsi="仿宋" w:eastAsia="仿宋" w:cs="仿宋"/>
          <w:color w:val="auto"/>
          <w:sz w:val="32"/>
          <w:szCs w:val="32"/>
          <w:lang w:val="en-US" w:eastAsia="zh-CN"/>
        </w:rPr>
        <w:t xml:space="preserve"> 青板乡人大副主席</w:t>
      </w:r>
    </w:p>
    <w:p w14:paraId="02E713D5">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刘厚愈</w:t>
      </w:r>
      <w:r>
        <w:rPr>
          <w:rFonts w:hint="eastAsia" w:ascii="仿宋" w:hAnsi="仿宋" w:eastAsia="仿宋" w:cs="仿宋"/>
          <w:color w:val="auto"/>
          <w:sz w:val="32"/>
          <w:szCs w:val="32"/>
          <w:lang w:val="en-US" w:eastAsia="zh-CN"/>
        </w:rPr>
        <w:t xml:space="preserve"> 姚家乡行政执法大队队长</w:t>
      </w:r>
    </w:p>
    <w:p w14:paraId="00C8856E">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郭道滨</w:t>
      </w:r>
      <w:r>
        <w:rPr>
          <w:rFonts w:hint="eastAsia" w:ascii="仿宋" w:hAnsi="仿宋" w:eastAsia="仿宋" w:cs="仿宋"/>
          <w:color w:val="auto"/>
          <w:sz w:val="32"/>
          <w:szCs w:val="32"/>
          <w:lang w:val="en-US" w:eastAsia="zh-CN"/>
        </w:rPr>
        <w:t xml:space="preserve"> 新篁办事处武装部部长</w:t>
      </w:r>
    </w:p>
    <w:p w14:paraId="05320AAB">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吴  平</w:t>
      </w:r>
      <w:r>
        <w:rPr>
          <w:rFonts w:hint="eastAsia" w:ascii="仿宋" w:hAnsi="仿宋" w:eastAsia="仿宋" w:cs="仿宋"/>
          <w:color w:val="auto"/>
          <w:sz w:val="32"/>
          <w:szCs w:val="32"/>
          <w:lang w:val="en-US" w:eastAsia="zh-CN"/>
        </w:rPr>
        <w:t xml:space="preserve"> 司铺乡武装部部长</w:t>
      </w:r>
    </w:p>
    <w:p w14:paraId="3430450A">
      <w:pPr>
        <w:keepNext w:val="0"/>
        <w:keepLines w:val="0"/>
        <w:pageBreakBefore w:val="0"/>
        <w:widowControl/>
        <w:kinsoku w:val="0"/>
        <w:wordWrap/>
        <w:overflowPunct/>
        <w:topLinePunct w:val="0"/>
        <w:autoSpaceDE w:val="0"/>
        <w:autoSpaceDN w:val="0"/>
        <w:bidi w:val="0"/>
        <w:adjustRightInd w:val="0"/>
        <w:snapToGrid w:val="0"/>
        <w:spacing w:line="600" w:lineRule="exact"/>
        <w:ind w:firstLine="2880" w:firstLineChars="900"/>
        <w:textAlignment w:val="baseline"/>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郑建华</w:t>
      </w:r>
      <w:r>
        <w:rPr>
          <w:rFonts w:hint="eastAsia" w:ascii="仿宋" w:hAnsi="仿宋" w:eastAsia="仿宋" w:cs="仿宋"/>
          <w:color w:val="auto"/>
          <w:sz w:val="32"/>
          <w:szCs w:val="32"/>
          <w:lang w:val="en-US" w:eastAsia="zh-CN"/>
        </w:rPr>
        <w:t xml:space="preserve"> 港边乡行政执法大队队长</w:t>
      </w:r>
    </w:p>
    <w:p w14:paraId="6DF8EE43">
      <w:pPr>
        <w:keepNext w:val="0"/>
        <w:keepLines w:val="0"/>
        <w:pageBreakBefore w:val="0"/>
        <w:widowControl/>
        <w:kinsoku/>
        <w:wordWrap/>
        <w:overflowPunct/>
        <w:topLinePunct w:val="0"/>
        <w:autoSpaceDE w:val="0"/>
        <w:autoSpaceDN w:val="0"/>
        <w:bidi w:val="0"/>
        <w:adjustRightInd w:val="0"/>
        <w:snapToGrid w:val="0"/>
        <w:spacing w:line="600" w:lineRule="exact"/>
        <w:ind w:firstLine="1920" w:firstLineChars="600"/>
        <w:textAlignment w:val="baseline"/>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p>
    <w:p w14:paraId="30ED2FF4">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rPr>
        <w:t>工作</w:t>
      </w:r>
      <w:r>
        <w:rPr>
          <w:rFonts w:hint="eastAsia" w:ascii="仿宋" w:hAnsi="仿宋" w:eastAsia="仿宋" w:cs="仿宋"/>
          <w:color w:val="auto"/>
          <w:sz w:val="32"/>
          <w:szCs w:val="32"/>
          <w:lang w:val="en-US" w:eastAsia="zh-CN"/>
        </w:rPr>
        <w:t>专班</w:t>
      </w:r>
      <w:r>
        <w:rPr>
          <w:rFonts w:hint="eastAsia" w:ascii="仿宋" w:hAnsi="仿宋" w:eastAsia="仿宋" w:cs="仿宋"/>
          <w:color w:val="auto"/>
          <w:sz w:val="32"/>
          <w:szCs w:val="32"/>
        </w:rPr>
        <w:t>下设办公室，县自然资源局局长同志兼任办公室主任，县林业</w:t>
      </w:r>
      <w:r>
        <w:rPr>
          <w:rFonts w:hint="eastAsia" w:ascii="仿宋" w:hAnsi="仿宋" w:eastAsia="仿宋" w:cs="仿宋"/>
          <w:color w:val="auto"/>
          <w:sz w:val="32"/>
          <w:szCs w:val="32"/>
          <w:lang w:val="en-US" w:eastAsia="zh-CN"/>
        </w:rPr>
        <w:t>发展中心主任</w:t>
      </w:r>
      <w:r>
        <w:rPr>
          <w:rFonts w:hint="eastAsia" w:ascii="仿宋" w:hAnsi="仿宋" w:eastAsia="仿宋" w:cs="仿宋"/>
          <w:color w:val="auto"/>
          <w:sz w:val="32"/>
          <w:szCs w:val="32"/>
        </w:rPr>
        <w:t>同志兼任办公室副主任。县自然资源局不动产登记</w:t>
      </w:r>
      <w:r>
        <w:rPr>
          <w:rFonts w:hint="eastAsia" w:ascii="仿宋" w:hAnsi="仿宋" w:eastAsia="仿宋" w:cs="仿宋"/>
          <w:color w:val="auto"/>
          <w:sz w:val="32"/>
          <w:szCs w:val="32"/>
          <w:lang w:val="en-US" w:eastAsia="zh-CN"/>
        </w:rPr>
        <w:t>中心</w:t>
      </w:r>
      <w:r>
        <w:rPr>
          <w:rFonts w:hint="eastAsia" w:ascii="仿宋" w:hAnsi="仿宋" w:eastAsia="仿宋" w:cs="仿宋"/>
          <w:color w:val="auto"/>
          <w:sz w:val="32"/>
          <w:szCs w:val="32"/>
        </w:rPr>
        <w:t>、自然资源调查监测股、耕地保护监督股、信息服务中心，县林业</w:t>
      </w:r>
      <w:r>
        <w:rPr>
          <w:rFonts w:hint="eastAsia" w:ascii="仿宋" w:hAnsi="仿宋" w:eastAsia="仿宋" w:cs="仿宋"/>
          <w:color w:val="auto"/>
          <w:sz w:val="32"/>
          <w:szCs w:val="32"/>
          <w:lang w:val="en-US" w:eastAsia="zh-CN"/>
        </w:rPr>
        <w:t>发展中心林政</w:t>
      </w:r>
      <w:r>
        <w:rPr>
          <w:rFonts w:hint="eastAsia" w:ascii="仿宋" w:hAnsi="仿宋" w:eastAsia="仿宋" w:cs="仿宋"/>
          <w:color w:val="auto"/>
          <w:sz w:val="32"/>
          <w:szCs w:val="32"/>
        </w:rPr>
        <w:t>股、营林股负责人担任联络员。</w:t>
      </w:r>
    </w:p>
    <w:p w14:paraId="2E414D88">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2"/>
          <w:szCs w:val="32"/>
        </w:rPr>
      </w:pPr>
    </w:p>
    <w:p w14:paraId="17C6D49B">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cs="仿宋"/>
          <w:color w:val="auto"/>
          <w:sz w:val="32"/>
          <w:szCs w:val="32"/>
        </w:rPr>
      </w:pPr>
    </w:p>
    <w:sectPr>
      <w:headerReference r:id="rId5" w:type="default"/>
      <w:footerReference r:id="rId6" w:type="default"/>
      <w:pgSz w:w="11905" w:h="16838"/>
      <w:pgMar w:top="1440" w:right="1803" w:bottom="1440" w:left="1803" w:header="0" w:footer="1457"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6DEC4">
    <w:pPr>
      <w:pStyle w:val="2"/>
      <w:spacing w:line="188" w:lineRule="auto"/>
      <w:ind w:right="2"/>
      <w:jc w:val="right"/>
      <w:rPr>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F37C4F">
    <w:pPr>
      <w:pStyle w:val="2"/>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5244B3"/>
    <w:multiLevelType w:val="singleLevel"/>
    <w:tmpl w:val="855244B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zUzNGNlMTc3OWNhMTFhMmViYjBjYWQwYzMyOWE5YTMifQ=="/>
  </w:docVars>
  <w:rsids>
    <w:rsidRoot w:val="00000000"/>
    <w:rsid w:val="03EC0840"/>
    <w:rsid w:val="060F3D6B"/>
    <w:rsid w:val="06DC7B80"/>
    <w:rsid w:val="09686BBA"/>
    <w:rsid w:val="0B5D7BAD"/>
    <w:rsid w:val="139E67EC"/>
    <w:rsid w:val="18876BA6"/>
    <w:rsid w:val="19C37774"/>
    <w:rsid w:val="1E514E62"/>
    <w:rsid w:val="1EF04B68"/>
    <w:rsid w:val="1FCA4D36"/>
    <w:rsid w:val="1FD0316D"/>
    <w:rsid w:val="23D51BB3"/>
    <w:rsid w:val="291B5A1B"/>
    <w:rsid w:val="2BF41BBE"/>
    <w:rsid w:val="2D32585A"/>
    <w:rsid w:val="2E055A63"/>
    <w:rsid w:val="2E484DCE"/>
    <w:rsid w:val="370E6805"/>
    <w:rsid w:val="3B234D77"/>
    <w:rsid w:val="3B834C33"/>
    <w:rsid w:val="3C125CC6"/>
    <w:rsid w:val="3C284B6C"/>
    <w:rsid w:val="3D6C0E81"/>
    <w:rsid w:val="404843AC"/>
    <w:rsid w:val="41140732"/>
    <w:rsid w:val="44432087"/>
    <w:rsid w:val="478B6005"/>
    <w:rsid w:val="49245028"/>
    <w:rsid w:val="4D697D88"/>
    <w:rsid w:val="4E4C0585"/>
    <w:rsid w:val="4FCD65F4"/>
    <w:rsid w:val="510F50CA"/>
    <w:rsid w:val="57BE68AA"/>
    <w:rsid w:val="5BC1711F"/>
    <w:rsid w:val="674A4D78"/>
    <w:rsid w:val="6BD807E8"/>
    <w:rsid w:val="6C18693F"/>
    <w:rsid w:val="6C4B06A3"/>
    <w:rsid w:val="6C4B29AA"/>
    <w:rsid w:val="6C8B1823"/>
    <w:rsid w:val="6D127803"/>
    <w:rsid w:val="745F325E"/>
    <w:rsid w:val="76B901AD"/>
    <w:rsid w:val="78DF2211"/>
    <w:rsid w:val="7AC83418"/>
    <w:rsid w:val="7FBD17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Words>5936</Words>
  <Characters>6065</Characters>
  <TotalTime>5</TotalTime>
  <ScaleCrop>false</ScaleCrop>
  <LinksUpToDate>false</LinksUpToDate>
  <CharactersWithSpaces>6146</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2024-08-07T11:36:00Z</dcterms:created>
  <dc:creator>linhua</dc:creator>
  <cp:lastModifiedBy>徐小哥</cp:lastModifiedBy>
  <cp:lastPrinted>2024-11-27T06:39:00Z</cp:lastPrinted>
  <dcterms:modified xsi:type="dcterms:W3CDTF">2025-08-29T07:27:32Z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2024-08-07T19:36:05Z</vt:filetime>
  </property>
  <property fmtid="{D5CDD505-2E9C-101B-9397-08002B2CF9AE}" pid="4" name="KSOProductBuildVer">
    <vt:lpwstr>2052-12.1.0.22529</vt:lpwstr>
  </property>
  <property fmtid="{D5CDD505-2E9C-101B-9397-08002B2CF9AE}" pid="5" name="ICV">
    <vt:lpwstr>0D762598BE484910A58CA728ABD8C505_13</vt:lpwstr>
  </property>
  <property fmtid="{D5CDD505-2E9C-101B-9397-08002B2CF9AE}" pid="6" name="KSOTemplateDocerSaveRecord">
    <vt:lpwstr>eyJoZGlkIjoiMTU0OWQ1NGJmMjQyZmFiZjA1ZmIzODc0MjY0YzJhMTQiLCJ1c2VySWQiOiIzNjU4MzA3NTcifQ==</vt:lpwstr>
  </property>
</Properties>
</file>