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178EE3">
      <w:pPr>
        <w:pStyle w:val="2"/>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560" w:lineRule="exact"/>
        <w:jc w:val="center"/>
        <w:textAlignment w:val="auto"/>
        <w:rPr>
          <w:rFonts w:hint="eastAsia" w:ascii="方正小标宋_GBK" w:hAnsi="方正小标宋_GBK" w:eastAsia="方正小标宋_GBK" w:cs="方正小标宋_GBK"/>
          <w:b w:val="0"/>
          <w:bCs w:val="0"/>
          <w:color w:val="333333"/>
          <w:sz w:val="44"/>
          <w:szCs w:val="44"/>
        </w:rPr>
      </w:pPr>
      <w:r>
        <w:rPr>
          <w:rFonts w:hint="eastAsia" w:ascii="方正小标宋_GBK" w:hAnsi="方正小标宋_GBK" w:eastAsia="方正小标宋_GBK" w:cs="方正小标宋_GBK"/>
          <w:b w:val="0"/>
          <w:bCs w:val="0"/>
          <w:color w:val="333333"/>
          <w:sz w:val="44"/>
          <w:szCs w:val="44"/>
        </w:rPr>
        <w:t>关于《横峰经济开发区控制性详细规划》</w:t>
      </w:r>
    </w:p>
    <w:p w14:paraId="5F65119A">
      <w:pPr>
        <w:pStyle w:val="2"/>
        <w:keepNext w:val="0"/>
        <w:keepLines w:val="0"/>
        <w:pageBreakBefore w:val="0"/>
        <w:shd w:val="clear" w:color="auto" w:fill="FFFFFF"/>
        <w:kinsoku/>
        <w:wordWrap/>
        <w:overflowPunct/>
        <w:topLinePunct w:val="0"/>
        <w:autoSpaceDE/>
        <w:autoSpaceDN/>
        <w:bidi w:val="0"/>
        <w:adjustRightInd/>
        <w:spacing w:before="0" w:beforeAutospacing="0" w:after="0" w:afterAutospacing="0" w:line="560" w:lineRule="exact"/>
        <w:jc w:val="center"/>
        <w:textAlignment w:val="auto"/>
        <w:rPr>
          <w:rFonts w:hint="eastAsia" w:ascii="仿宋_GB2312" w:hAnsi="仿宋_GB2312" w:eastAsia="仿宋_GB2312" w:cs="仿宋_GB2312"/>
          <w:b/>
          <w:kern w:val="0"/>
          <w:sz w:val="32"/>
          <w:szCs w:val="32"/>
        </w:rPr>
      </w:pPr>
      <w:r>
        <w:rPr>
          <w:rFonts w:hint="eastAsia" w:ascii="方正小标宋_GBK" w:hAnsi="方正小标宋_GBK" w:eastAsia="方正小标宋_GBK" w:cs="方正小标宋_GBK"/>
          <w:b w:val="0"/>
          <w:bCs w:val="0"/>
          <w:color w:val="333333"/>
          <w:sz w:val="44"/>
          <w:szCs w:val="44"/>
        </w:rPr>
        <w:t>的起草说明</w:t>
      </w:r>
    </w:p>
    <w:p w14:paraId="3C794DA7">
      <w:pPr>
        <w:keepNext w:val="0"/>
        <w:keepLines w:val="0"/>
        <w:pageBreakBefore w:val="0"/>
        <w:widowControl/>
        <w:kinsoku/>
        <w:wordWrap/>
        <w:overflowPunct/>
        <w:topLinePunct w:val="0"/>
        <w:autoSpaceDE/>
        <w:autoSpaceDN/>
        <w:bidi w:val="0"/>
        <w:adjustRightInd/>
        <w:spacing w:line="560" w:lineRule="exact"/>
        <w:ind w:firstLine="480"/>
        <w:jc w:val="left"/>
        <w:textAlignment w:val="auto"/>
        <w:rPr>
          <w:rFonts w:hint="eastAsia" w:ascii="仿宋_GB2312" w:hAnsi="仿宋_GB2312" w:eastAsia="仿宋_GB2312" w:cs="仿宋_GB2312"/>
          <w:b/>
          <w:kern w:val="0"/>
          <w:sz w:val="32"/>
          <w:szCs w:val="32"/>
        </w:rPr>
      </w:pPr>
    </w:p>
    <w:p w14:paraId="780B7113">
      <w:pPr>
        <w:keepNext w:val="0"/>
        <w:keepLines w:val="0"/>
        <w:pageBreakBefore w:val="0"/>
        <w:widowControl/>
        <w:kinsoku/>
        <w:wordWrap/>
        <w:overflowPunct/>
        <w:topLinePunct w:val="0"/>
        <w:autoSpaceDE/>
        <w:autoSpaceDN/>
        <w:bidi w:val="0"/>
        <w:adjustRightInd/>
        <w:spacing w:line="560" w:lineRule="exact"/>
        <w:ind w:firstLine="643" w:firstLineChars="200"/>
        <w:jc w:val="left"/>
        <w:textAlignment w:val="auto"/>
        <w:rPr>
          <w:rFonts w:hint="eastAsia" w:ascii="仿宋_GB2312" w:hAnsi="仿宋_GB2312" w:eastAsia="仿宋_GB2312" w:cs="仿宋_GB2312"/>
          <w:b/>
          <w:bCs/>
          <w:color w:val="333333"/>
          <w:kern w:val="0"/>
          <w:sz w:val="32"/>
          <w:szCs w:val="32"/>
          <w:lang w:eastAsia="zh-CN"/>
        </w:rPr>
      </w:pPr>
      <w:r>
        <w:rPr>
          <w:rFonts w:hint="eastAsia" w:ascii="仿宋_GB2312" w:hAnsi="仿宋_GB2312" w:eastAsia="仿宋_GB2312" w:cs="仿宋_GB2312"/>
          <w:b/>
          <w:kern w:val="0"/>
          <w:sz w:val="32"/>
          <w:szCs w:val="32"/>
        </w:rPr>
        <w:t>编制的必要性</w:t>
      </w:r>
      <w:r>
        <w:rPr>
          <w:rFonts w:hint="eastAsia" w:ascii="仿宋_GB2312" w:hAnsi="仿宋_GB2312" w:eastAsia="仿宋_GB2312" w:cs="仿宋_GB2312"/>
          <w:b/>
          <w:kern w:val="0"/>
          <w:sz w:val="32"/>
          <w:szCs w:val="32"/>
          <w:lang w:eastAsia="zh-CN"/>
        </w:rPr>
        <w:t>：</w:t>
      </w:r>
    </w:p>
    <w:p w14:paraId="22E771AB">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000000"/>
          <w:sz w:val="32"/>
          <w:szCs w:val="32"/>
          <w:lang w:val="en-GB"/>
        </w:rPr>
        <w:t>为认真贯彻落实“1269”行动计划，提升铜基新材料先进制造业集群协作融合、一体发展；进一步推动横峰经济开发区开展现代化锂新材料园区建设；落实“工业强县”战略,促进横峰经济开发区的土地合理利用和各项建设协调、健康、有序地发展；特编制本控制性详细规划。</w:t>
      </w:r>
      <w:r>
        <w:rPr>
          <w:rFonts w:hint="eastAsia" w:ascii="仿宋_GB2312" w:hAnsi="仿宋_GB2312" w:eastAsia="仿宋_GB2312" w:cs="仿宋_GB2312"/>
          <w:color w:val="333333"/>
          <w:kern w:val="0"/>
          <w:sz w:val="32"/>
          <w:szCs w:val="32"/>
        </w:rPr>
        <w:t>现就《规划》起草说明如下：</w:t>
      </w:r>
    </w:p>
    <w:p w14:paraId="1850D268">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一、指导思想</w:t>
      </w:r>
    </w:p>
    <w:p w14:paraId="66F02E2D">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以习近平新时代中国特色社会主义思想为指导，合理定位横峰经济开发区的职能、地位、规模和作用，使横峰经济开发区开发建设与县城的经济增长在功能布局上统一协调发展；科学合理地进行功能与空间的布局与开发，优化用地结构，强调规划的统一性、连续性，实现生产、交通和市政配套的总体平衡；充分结合自然环境，满足开发建设要求，合理布局，提高土地利用价值，为土地开发利用更具合理性、可操作性创造条件；满足园区开发建设和规划管理需要，充分考虑远近期开发建设的可能性，地块划分与指标控制兼顾确定性与灵活性，强制性和指导性，注重规划的操作性。</w:t>
      </w:r>
    </w:p>
    <w:p w14:paraId="49BAAD72">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二、 规划目的</w:t>
      </w:r>
    </w:p>
    <w:p w14:paraId="56CF1918">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以主题产业园形式开展精准招商，推进延链、补链、强链提升，加大产业培育力度，提高产业集群发展水平。依托区位和资源优势，加快推进产业园建设及项目落户进程。创新投融资机制和开发模式，坚持高起点谋划，高标准建设，力争在基础设施建设、产城融合区开发以及主题产业园建设运营等方面取得新突破。持续推进机制体制改革创新，建立健全项目质量优化审核机制、土地节约集约利用机制，深化放管服改革，进一步优化营商环境，推动园区高质量发展。建成一批产业链条完善、特色鲜明、影响力大的产业聚集区，使新兴产业和高技术服务业增加值在全市高新技术产业值的全面提升。</w:t>
      </w:r>
    </w:p>
    <w:p w14:paraId="2DEBE3A3">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三、规划定位</w:t>
      </w:r>
    </w:p>
    <w:p w14:paraId="5E32F49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《规划》立足新发展阶段、贯彻新发展理念、构建新发展格局，</w:t>
      </w:r>
      <w:bookmarkStart w:id="0" w:name="_Hlk61443677"/>
      <w:r>
        <w:rPr>
          <w:rFonts w:hint="eastAsia" w:ascii="仿宋_GB2312" w:hAnsi="仿宋_GB2312" w:eastAsia="仿宋_GB2312" w:cs="仿宋_GB2312"/>
          <w:color w:val="333333"/>
          <w:kern w:val="0"/>
          <w:sz w:val="32"/>
          <w:szCs w:val="32"/>
        </w:rPr>
        <w:t>为大力实施工业强县战略</w:t>
      </w:r>
      <w:bookmarkEnd w:id="0"/>
      <w:r>
        <w:rPr>
          <w:rFonts w:hint="eastAsia" w:ascii="仿宋_GB2312" w:hAnsi="仿宋_GB2312" w:eastAsia="仿宋_GB2312" w:cs="仿宋_GB2312"/>
          <w:color w:val="333333"/>
          <w:kern w:val="0"/>
          <w:sz w:val="32"/>
          <w:szCs w:val="32"/>
        </w:rPr>
        <w:t>，实现“延链”“补链”“强链” 、新兴产业发展、传统产业提升、产业园区提质升级的发展目标，努力构建深度融合、技术引领、绿色高效的现代产业园区。是实施园区国土空间用途管制的基本依据。</w:t>
      </w:r>
    </w:p>
    <w:p w14:paraId="2A0665BC">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四</w:t>
      </w:r>
      <w:r>
        <w:rPr>
          <w:rFonts w:hint="eastAsia" w:ascii="黑体" w:hAnsi="黑体" w:eastAsia="黑体" w:cs="黑体"/>
          <w:b w:val="0"/>
          <w:bCs w:val="0"/>
          <w:color w:val="333333"/>
          <w:kern w:val="0"/>
          <w:sz w:val="32"/>
          <w:szCs w:val="32"/>
          <w:lang w:eastAsia="zh-CN"/>
        </w:rPr>
        <w:t>、</w:t>
      </w:r>
      <w:r>
        <w:rPr>
          <w:rFonts w:hint="eastAsia" w:ascii="黑体" w:hAnsi="黑体" w:eastAsia="黑体" w:cs="黑体"/>
          <w:b w:val="0"/>
          <w:bCs w:val="0"/>
          <w:color w:val="333333"/>
          <w:kern w:val="0"/>
          <w:sz w:val="32"/>
          <w:szCs w:val="32"/>
        </w:rPr>
        <w:t>规划依据</w:t>
      </w:r>
    </w:p>
    <w:p w14:paraId="1C6E8B89">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1、《中华人民共和国城乡规划法》 2019</w:t>
      </w:r>
    </w:p>
    <w:p w14:paraId="726B45F9">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2、《城市规划编制办法实施细则》 2018</w:t>
      </w:r>
    </w:p>
    <w:p w14:paraId="64D75B8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3、《国土空间调查、规划、用途管制用地用海分类指南》 2023</w:t>
      </w:r>
    </w:p>
    <w:p w14:paraId="48553CC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4、《城市综合交通体系规划标准》 2018</w:t>
      </w:r>
    </w:p>
    <w:p w14:paraId="62A6788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5、《城市工程管线综合规划规范》 2016</w:t>
      </w:r>
    </w:p>
    <w:p w14:paraId="2A8EFC7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6、《江西省城市规划管理技术导则》2024</w:t>
      </w:r>
    </w:p>
    <w:p w14:paraId="7414EAAF">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7、《横峰县第十四个五年规划报告》 2021</w:t>
      </w:r>
    </w:p>
    <w:p w14:paraId="7AE98898">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8、《江西省建设用地指标》 2018</w:t>
      </w:r>
    </w:p>
    <w:p w14:paraId="7DB9D2FE">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9、《国家生态工业示范园区管理办法</w:t>
      </w:r>
      <w:bookmarkStart w:id="1" w:name="_GoBack"/>
      <w:bookmarkEnd w:id="1"/>
      <w:r>
        <w:rPr>
          <w:rFonts w:hint="eastAsia" w:ascii="仿宋_GB2312" w:hAnsi="仿宋_GB2312" w:eastAsia="仿宋_GB2312" w:cs="仿宋_GB2312"/>
          <w:color w:val="333333"/>
          <w:kern w:val="0"/>
          <w:sz w:val="32"/>
          <w:szCs w:val="32"/>
        </w:rPr>
        <w:t>（试行）》</w:t>
      </w:r>
    </w:p>
    <w:p w14:paraId="1943B48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10、《横峰县国土空间总体规划》（2021---2035）</w:t>
      </w:r>
    </w:p>
    <w:p w14:paraId="4EA9D43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11、《横峰县城市规划相关管理规定》  等</w:t>
      </w:r>
    </w:p>
    <w:p w14:paraId="27F4A11C">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五、规划原则</w:t>
      </w:r>
    </w:p>
    <w:p w14:paraId="3A406704">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节约集约用地原则。按照节约集约用地原则，充分利用现有建设用地，大力提高建设用地利用效率，对建设用地进行总量控制，对存量用地要注重盘活利用。</w:t>
      </w:r>
    </w:p>
    <w:p w14:paraId="04E1071C">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综合开发原则。纵观全局确定园区规划，通过产业集聚、综合配套产生效益，同时规划有利于建设时序的安排，有利于分片、分块实施。合理调整功能结构和空间布局，创造优良的环境质量。</w:t>
      </w:r>
    </w:p>
    <w:p w14:paraId="6140E803">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实事求是原则。要按科学态度和依法治市精神，遵循实事求是原则，制定符合客观现实和切实可行的规划方案。</w:t>
      </w:r>
    </w:p>
    <w:p w14:paraId="5B8EA217">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突出地方特色原则。通过对地脉、史脉、文脉的深度挖掘，充分利用园区优良的生态环境，塑造园林式山水生态工业园区的新形象。</w:t>
      </w:r>
    </w:p>
    <w:p w14:paraId="26323C22">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六</w:t>
      </w:r>
      <w:r>
        <w:rPr>
          <w:rFonts w:hint="eastAsia" w:ascii="黑体" w:hAnsi="黑体" w:eastAsia="黑体" w:cs="黑体"/>
          <w:b w:val="0"/>
          <w:bCs w:val="0"/>
          <w:color w:val="333333"/>
          <w:kern w:val="0"/>
          <w:sz w:val="32"/>
          <w:szCs w:val="32"/>
          <w:lang w:eastAsia="zh-CN"/>
        </w:rPr>
        <w:t>、</w:t>
      </w:r>
      <w:r>
        <w:rPr>
          <w:rFonts w:hint="eastAsia" w:ascii="黑体" w:hAnsi="黑体" w:eastAsia="黑体" w:cs="黑体"/>
          <w:b w:val="0"/>
          <w:bCs w:val="0"/>
          <w:color w:val="333333"/>
          <w:kern w:val="0"/>
          <w:sz w:val="32"/>
          <w:szCs w:val="32"/>
        </w:rPr>
        <w:t>规划范围</w:t>
      </w:r>
    </w:p>
    <w:p w14:paraId="2C660E3F">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本次规划设计的范围，南接新320国道，北至兴安大道，西临上万高速，东至广场东路延伸段和人民大道，面积约为7.15平方公里（715.35公顷）。</w:t>
      </w:r>
    </w:p>
    <w:p w14:paraId="6F0C999D">
      <w:pPr>
        <w:keepNext w:val="0"/>
        <w:keepLines w:val="0"/>
        <w:pageBreakBefore w:val="0"/>
        <w:widowControl/>
        <w:kinsoku/>
        <w:wordWrap/>
        <w:overflowPunct/>
        <w:topLinePunct w:val="0"/>
        <w:autoSpaceDE/>
        <w:autoSpaceDN/>
        <w:bidi w:val="0"/>
        <w:adjustRightInd/>
        <w:spacing w:line="560" w:lineRule="exact"/>
        <w:ind w:firstLine="640" w:firstLineChars="200"/>
        <w:jc w:val="left"/>
        <w:textAlignment w:val="auto"/>
        <w:rPr>
          <w:rFonts w:hint="eastAsia" w:ascii="黑体" w:hAnsi="黑体" w:eastAsia="黑体" w:cs="黑体"/>
          <w:b w:val="0"/>
          <w:bCs w:val="0"/>
          <w:color w:val="333333"/>
          <w:kern w:val="0"/>
          <w:sz w:val="32"/>
          <w:szCs w:val="32"/>
        </w:rPr>
      </w:pPr>
      <w:r>
        <w:rPr>
          <w:rFonts w:hint="eastAsia" w:ascii="黑体" w:hAnsi="黑体" w:eastAsia="黑体" w:cs="黑体"/>
          <w:b w:val="0"/>
          <w:bCs w:val="0"/>
          <w:color w:val="333333"/>
          <w:kern w:val="0"/>
          <w:sz w:val="32"/>
          <w:szCs w:val="32"/>
        </w:rPr>
        <w:t>七、规划期限</w:t>
      </w:r>
    </w:p>
    <w:p w14:paraId="3D54C89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考虑开发中存在的动态因素，依据园区发展的功能合理性和相对独立性，将规划分为两期：</w:t>
      </w:r>
    </w:p>
    <w:p w14:paraId="1FCBD52B">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（近期）2021——2025年；</w:t>
      </w:r>
    </w:p>
    <w:p w14:paraId="12E6345B">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（远期）2026——2035年；</w:t>
      </w:r>
    </w:p>
    <w:p w14:paraId="1B7CC45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其中重大基础设施的建设不受规划年限的限制。</w:t>
      </w:r>
    </w:p>
    <w:p w14:paraId="03ACACBD">
      <w:pPr>
        <w:keepNext w:val="0"/>
        <w:keepLines w:val="0"/>
        <w:pageBreakBefore w:val="0"/>
        <w:kinsoku/>
        <w:wordWrap/>
        <w:overflowPunct/>
        <w:topLinePunct w:val="0"/>
        <w:autoSpaceDE/>
        <w:autoSpaceDN/>
        <w:bidi w:val="0"/>
        <w:adjustRightInd/>
        <w:spacing w:line="560" w:lineRule="exact"/>
        <w:ind w:firstLine="643" w:firstLineChars="200"/>
        <w:textAlignment w:val="auto"/>
        <w:rPr>
          <w:rStyle w:val="5"/>
          <w:rFonts w:hint="eastAsia" w:ascii="仿宋_GB2312" w:hAnsi="仿宋_GB2312" w:eastAsia="仿宋_GB2312" w:cs="仿宋_GB2312"/>
          <w:color w:val="333333"/>
          <w:sz w:val="32"/>
          <w:szCs w:val="32"/>
        </w:rPr>
      </w:pPr>
    </w:p>
    <w:p w14:paraId="6BA7AE65">
      <w:pPr>
        <w:keepNext w:val="0"/>
        <w:keepLines w:val="0"/>
        <w:pageBreakBefore w:val="0"/>
        <w:kinsoku/>
        <w:wordWrap/>
        <w:overflowPunct/>
        <w:topLinePunct w:val="0"/>
        <w:autoSpaceDE/>
        <w:autoSpaceDN/>
        <w:bidi w:val="0"/>
        <w:adjustRightInd/>
        <w:spacing w:line="560" w:lineRule="exact"/>
        <w:ind w:firstLine="643" w:firstLineChars="200"/>
        <w:textAlignment w:val="auto"/>
        <w:rPr>
          <w:rStyle w:val="5"/>
          <w:rFonts w:hint="eastAsia" w:ascii="仿宋_GB2312" w:hAnsi="仿宋_GB2312" w:eastAsia="仿宋_GB2312" w:cs="仿宋_GB2312"/>
          <w:color w:val="333333"/>
          <w:sz w:val="32"/>
          <w:szCs w:val="32"/>
          <w:lang w:eastAsia="zh-CN"/>
        </w:rPr>
      </w:pPr>
      <w:r>
        <w:rPr>
          <w:rStyle w:val="5"/>
          <w:rFonts w:hint="eastAsia" w:ascii="仿宋_GB2312" w:hAnsi="仿宋_GB2312" w:eastAsia="仿宋_GB2312" w:cs="仿宋_GB2312"/>
          <w:color w:val="333333"/>
          <w:sz w:val="32"/>
          <w:szCs w:val="32"/>
        </w:rPr>
        <w:t>编制过程</w:t>
      </w:r>
      <w:r>
        <w:rPr>
          <w:rStyle w:val="5"/>
          <w:rFonts w:hint="eastAsia" w:ascii="仿宋_GB2312" w:hAnsi="仿宋_GB2312" w:eastAsia="仿宋_GB2312" w:cs="仿宋_GB2312"/>
          <w:color w:val="333333"/>
          <w:sz w:val="32"/>
          <w:szCs w:val="32"/>
          <w:lang w:eastAsia="zh-CN"/>
        </w:rPr>
        <w:t>：</w:t>
      </w:r>
    </w:p>
    <w:p w14:paraId="286A2540">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规划在编制过程中多次与行业主管的自然资源局对接，广泛听取各相关职能部门的意见；同时与环境评价、调区扩区、中长期经济发展规划的编制单位进行了充分的沟通与协调，在形成基本成果后专门邀请以江西师范大学闵忠荣教授为首的行业专家团队对规划成果进行评估审核，在听取各方意见和建议后形成本轮的最终成果。</w:t>
      </w:r>
    </w:p>
    <w:p w14:paraId="5DA62DB1">
      <w:pPr>
        <w:pStyle w:val="2"/>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560" w:lineRule="exact"/>
        <w:ind w:firstLine="643" w:firstLineChars="200"/>
        <w:jc w:val="both"/>
        <w:textAlignment w:val="auto"/>
        <w:rPr>
          <w:rStyle w:val="5"/>
          <w:rFonts w:hint="eastAsia" w:ascii="仿宋_GB2312" w:hAnsi="仿宋_GB2312" w:eastAsia="仿宋_GB2312" w:cs="仿宋_GB2312"/>
          <w:color w:val="333333"/>
          <w:sz w:val="32"/>
          <w:szCs w:val="32"/>
          <w:lang w:eastAsia="zh-CN"/>
        </w:rPr>
      </w:pPr>
      <w:r>
        <w:rPr>
          <w:rStyle w:val="5"/>
          <w:rFonts w:hint="eastAsia" w:ascii="仿宋_GB2312" w:hAnsi="仿宋_GB2312" w:eastAsia="仿宋_GB2312" w:cs="仿宋_GB2312"/>
          <w:color w:val="333333"/>
          <w:sz w:val="32"/>
          <w:szCs w:val="32"/>
        </w:rPr>
        <w:t>规划的主要内容</w:t>
      </w:r>
      <w:r>
        <w:rPr>
          <w:rStyle w:val="5"/>
          <w:rFonts w:hint="eastAsia" w:ascii="仿宋_GB2312" w:hAnsi="仿宋_GB2312" w:eastAsia="仿宋_GB2312" w:cs="仿宋_GB2312"/>
          <w:color w:val="333333"/>
          <w:sz w:val="32"/>
          <w:szCs w:val="32"/>
          <w:lang w:eastAsia="zh-CN"/>
        </w:rPr>
        <w:t>：</w:t>
      </w:r>
    </w:p>
    <w:p w14:paraId="7B09C6F0">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本轮规划总用地面积为715.35公顷，其中居住用地1.04公顷，商业服务业用地0.55公顷，工矿用地621.97公顷，交通运输用地为62.07公顷，公用设施用地6.10公顷，绿地与开敞空间用地23.51公顷。</w:t>
      </w:r>
    </w:p>
    <w:p w14:paraId="2914109F">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成果包括法定文件、技术文件、附件及数据库四部分，其中法定文件包括文本和图则，技术文件包括说明和图纸，附件包括专家评审意见、相关部门意见、规委会审查意见、公众参与和政府批复等。具体内容见相关公示文件</w:t>
      </w:r>
    </w:p>
    <w:p w14:paraId="68A56256">
      <w:pPr>
        <w:keepNext w:val="0"/>
        <w:keepLines w:val="0"/>
        <w:pageBreakBefore w:val="0"/>
        <w:kinsoku/>
        <w:wordWrap/>
        <w:overflowPunct/>
        <w:topLinePunct w:val="0"/>
        <w:autoSpaceDE/>
        <w:autoSpaceDN/>
        <w:bidi w:val="0"/>
        <w:adjustRightInd/>
        <w:spacing w:line="560" w:lineRule="exact"/>
        <w:ind w:firstLine="480" w:firstLineChars="200"/>
        <w:textAlignment w:val="auto"/>
        <w:rPr>
          <w:rFonts w:hint="eastAsia" w:ascii="宋体" w:hAnsi="宋体" w:eastAsia="宋体" w:cs="宋体"/>
          <w:color w:val="333333"/>
          <w:kern w:val="0"/>
          <w:sz w:val="24"/>
          <w:szCs w:val="24"/>
        </w:rPr>
      </w:pPr>
    </w:p>
    <w:p w14:paraId="43075221">
      <w:pPr>
        <w:keepNext w:val="0"/>
        <w:keepLines w:val="0"/>
        <w:pageBreakBefore w:val="0"/>
        <w:kinsoku/>
        <w:wordWrap/>
        <w:overflowPunct/>
        <w:topLinePunct w:val="0"/>
        <w:autoSpaceDE/>
        <w:autoSpaceDN/>
        <w:bidi w:val="0"/>
        <w:adjustRightInd/>
        <w:spacing w:line="560" w:lineRule="exact"/>
        <w:textAlignment w:val="auto"/>
        <w:rPr>
          <w:rFonts w:hint="eastAsia" w:ascii="宋体" w:hAnsi="宋体" w:eastAsia="宋体" w:cs="宋体"/>
          <w:color w:val="333333"/>
          <w:kern w:val="0"/>
          <w:sz w:val="24"/>
          <w:szCs w:val="24"/>
        </w:rPr>
      </w:pPr>
    </w:p>
    <w:p w14:paraId="364373CF">
      <w:pPr>
        <w:keepNext w:val="0"/>
        <w:keepLines w:val="0"/>
        <w:pageBreakBefore w:val="0"/>
        <w:widowControl/>
        <w:shd w:val="clear" w:color="auto" w:fill="FFFFFF"/>
        <w:kinsoku/>
        <w:wordWrap/>
        <w:overflowPunct/>
        <w:topLinePunct w:val="0"/>
        <w:autoSpaceDE/>
        <w:autoSpaceDN/>
        <w:bidi w:val="0"/>
        <w:adjustRightInd/>
        <w:spacing w:line="560" w:lineRule="exact"/>
        <w:ind w:firstLine="480"/>
        <w:jc w:val="left"/>
        <w:textAlignment w:val="auto"/>
        <w:rPr>
          <w:rFonts w:ascii="宋体" w:hAnsi="宋体" w:eastAsia="宋体" w:cs="宋体"/>
          <w:color w:val="333333"/>
          <w:kern w:val="0"/>
          <w:sz w:val="24"/>
          <w:szCs w:val="24"/>
        </w:rPr>
      </w:pPr>
    </w:p>
    <w:p w14:paraId="7DF4342C">
      <w:pPr>
        <w:keepNext w:val="0"/>
        <w:keepLines w:val="0"/>
        <w:pageBreakBefore w:val="0"/>
        <w:kinsoku/>
        <w:wordWrap/>
        <w:overflowPunct/>
        <w:topLinePunct w:val="0"/>
        <w:autoSpaceDE/>
        <w:autoSpaceDN/>
        <w:bidi w:val="0"/>
        <w:adjustRightIn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53A"/>
    <w:rsid w:val="001A153A"/>
    <w:rsid w:val="00322A11"/>
    <w:rsid w:val="003B7C2B"/>
    <w:rsid w:val="007C2370"/>
    <w:rsid w:val="00A05BF6"/>
    <w:rsid w:val="00BC1D79"/>
    <w:rsid w:val="1BD060FF"/>
    <w:rsid w:val="215107EE"/>
    <w:rsid w:val="5CFE0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1793</Words>
  <Characters>1881</Characters>
  <Lines>13</Lines>
  <Paragraphs>3</Paragraphs>
  <TotalTime>0</TotalTime>
  <ScaleCrop>false</ScaleCrop>
  <LinksUpToDate>false</LinksUpToDate>
  <CharactersWithSpaces>1892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2025-07-24T14:33:00Z</dcterms:created>
  <dc:creator>Administrator</dc:creator>
  <cp:lastModifiedBy>鄄梓沂</cp:lastModifiedBy>
  <dcterms:modified xsi:type="dcterms:W3CDTF">2025-10-13T12:18:33Z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eyJoZGlkIjoiNGRhNDcxMjc2N2E3YzZkYWM4YzA3YzMyOTkzMzcxYmUiLCJ1c2VySWQiOiI4OTU4NDk5ODAifQ==</vt:lpwstr>
  </property>
  <property fmtid="{D5CDD505-2E9C-101B-9397-08002B2CF9AE}" pid="3" name="KSOProductBuildVer">
    <vt:lpwstr>2052-12.1.0.22529</vt:lpwstr>
  </property>
  <property fmtid="{D5CDD505-2E9C-101B-9397-08002B2CF9AE}" pid="4" name="ICV">
    <vt:lpwstr>F8C3C0AC02914F89B73B31C065D18785_13</vt:lpwstr>
  </property>
</Properties>
</file>